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FE4" w:rsidRPr="005A47B0" w:rsidRDefault="00BA5FE4" w:rsidP="00BA5FE4">
      <w:pPr>
        <w:rPr>
          <w:sz w:val="40"/>
          <w:szCs w:val="40"/>
        </w:rPr>
      </w:pPr>
      <w:r w:rsidRPr="005A47B0">
        <w:rPr>
          <w:sz w:val="40"/>
          <w:szCs w:val="40"/>
        </w:rPr>
        <w:t xml:space="preserve">Lettre ouverte aux gouvernements et </w:t>
      </w:r>
      <w:r w:rsidR="005A47B0" w:rsidRPr="005A47B0">
        <w:rPr>
          <w:sz w:val="40"/>
          <w:szCs w:val="40"/>
        </w:rPr>
        <w:t>aux décideurs</w:t>
      </w:r>
      <w:r w:rsidRPr="005A47B0">
        <w:rPr>
          <w:sz w:val="40"/>
          <w:szCs w:val="40"/>
        </w:rPr>
        <w:t xml:space="preserve"> politiques</w:t>
      </w:r>
      <w:r w:rsidR="005A47B0" w:rsidRPr="005A47B0">
        <w:rPr>
          <w:sz w:val="40"/>
          <w:szCs w:val="40"/>
        </w:rPr>
        <w:t xml:space="preserve"> </w:t>
      </w:r>
      <w:r w:rsidR="005A47B0">
        <w:rPr>
          <w:sz w:val="40"/>
          <w:szCs w:val="40"/>
        </w:rPr>
        <w:t>d’</w:t>
      </w:r>
      <w:r w:rsidR="005A47B0" w:rsidRPr="005A47B0">
        <w:rPr>
          <w:sz w:val="40"/>
          <w:szCs w:val="40"/>
        </w:rPr>
        <w:t>Asie</w:t>
      </w:r>
    </w:p>
    <w:p w:rsidR="00BA5FE4" w:rsidRPr="00A85E33" w:rsidRDefault="00BA5FE4" w:rsidP="00BA5FE4">
      <w:pPr>
        <w:rPr>
          <w:sz w:val="24"/>
          <w:szCs w:val="24"/>
        </w:rPr>
      </w:pPr>
      <w:r w:rsidRPr="00A85E33">
        <w:rPr>
          <w:sz w:val="24"/>
          <w:szCs w:val="24"/>
        </w:rPr>
        <w:t>Objet: Alerte sanitaire sur l'amiante chrysotile</w:t>
      </w:r>
    </w:p>
    <w:p w:rsidR="005A47B0" w:rsidRPr="00A85E33" w:rsidRDefault="005A47B0" w:rsidP="00BA5FE4">
      <w:pPr>
        <w:rPr>
          <w:sz w:val="24"/>
          <w:szCs w:val="24"/>
        </w:rPr>
      </w:pPr>
    </w:p>
    <w:p w:rsidR="00BA5FE4" w:rsidRPr="00A85E33" w:rsidRDefault="00BA5FE4" w:rsidP="00BA5FE4">
      <w:pPr>
        <w:rPr>
          <w:sz w:val="24"/>
          <w:szCs w:val="24"/>
        </w:rPr>
      </w:pPr>
      <w:r w:rsidRPr="00A85E33">
        <w:rPr>
          <w:sz w:val="24"/>
          <w:szCs w:val="24"/>
        </w:rPr>
        <w:t>Nous, chercheurs, scientifiques, médecins, spécialistes de la santé au travail</w:t>
      </w:r>
      <w:r w:rsidR="005A47B0" w:rsidRPr="00A85E33">
        <w:rPr>
          <w:sz w:val="24"/>
          <w:szCs w:val="24"/>
        </w:rPr>
        <w:t xml:space="preserve"> et des maladies liées à l'amiante</w:t>
      </w:r>
      <w:r w:rsidRPr="00A85E33">
        <w:rPr>
          <w:sz w:val="24"/>
          <w:szCs w:val="24"/>
        </w:rPr>
        <w:t xml:space="preserve"> du monde entier,</w:t>
      </w:r>
      <w:r w:rsidR="00423F0E" w:rsidRPr="00A85E33">
        <w:rPr>
          <w:sz w:val="24"/>
          <w:szCs w:val="24"/>
        </w:rPr>
        <w:t xml:space="preserve"> associés à des organisations représentant les victimes et à organisations syndicales, nous soutenons cette lettre ouverte pour vous exprimer notre sincère et profonde préoccupations sur la poursuite de l’amiante chrysotile dans les pays d’Asie. Malgré des preuves claires et sans équivoques </w:t>
      </w:r>
      <w:r w:rsidR="00B36C85" w:rsidRPr="00A85E33">
        <w:rPr>
          <w:sz w:val="24"/>
          <w:szCs w:val="24"/>
        </w:rPr>
        <w:t>du</w:t>
      </w:r>
      <w:r w:rsidR="00423F0E" w:rsidRPr="00A85E33">
        <w:rPr>
          <w:sz w:val="24"/>
          <w:szCs w:val="24"/>
        </w:rPr>
        <w:t xml:space="preserve"> risque de cancers et d’autres maladies </w:t>
      </w:r>
      <w:r w:rsidR="00B36C85" w:rsidRPr="00A85E33">
        <w:rPr>
          <w:sz w:val="24"/>
          <w:szCs w:val="24"/>
        </w:rPr>
        <w:t>lié à la poursuite de son utilisation.</w:t>
      </w:r>
    </w:p>
    <w:p w:rsidR="00BA5FE4" w:rsidRPr="00A85E33" w:rsidRDefault="00BA5FE4" w:rsidP="00BA5FE4">
      <w:pPr>
        <w:rPr>
          <w:sz w:val="24"/>
          <w:szCs w:val="24"/>
        </w:rPr>
      </w:pPr>
      <w:r w:rsidRPr="00A85E33">
        <w:rPr>
          <w:sz w:val="24"/>
          <w:szCs w:val="24"/>
        </w:rPr>
        <w:t xml:space="preserve">Nous aimerions attirer votre attention sur </w:t>
      </w:r>
      <w:r w:rsidR="00B36C85" w:rsidRPr="00A85E33">
        <w:rPr>
          <w:sz w:val="24"/>
          <w:szCs w:val="24"/>
        </w:rPr>
        <w:t>les points suivants</w:t>
      </w:r>
      <w:r w:rsidRPr="00A85E33">
        <w:rPr>
          <w:sz w:val="24"/>
          <w:szCs w:val="24"/>
        </w:rPr>
        <w:t>, lorsque vous considérez</w:t>
      </w:r>
      <w:r w:rsidR="00B36C85" w:rsidRPr="00A85E33">
        <w:rPr>
          <w:sz w:val="24"/>
          <w:szCs w:val="24"/>
        </w:rPr>
        <w:t xml:space="preserve"> </w:t>
      </w:r>
      <w:r w:rsidRPr="00A85E33">
        <w:rPr>
          <w:sz w:val="24"/>
          <w:szCs w:val="24"/>
        </w:rPr>
        <w:t>l'utilisation future de ce produit dans votre pays.</w:t>
      </w:r>
    </w:p>
    <w:p w:rsidR="00B36C85" w:rsidRPr="00A85E33" w:rsidRDefault="00BA5FE4" w:rsidP="00BA5FE4">
      <w:pPr>
        <w:pStyle w:val="Paragraphedeliste"/>
        <w:numPr>
          <w:ilvl w:val="0"/>
          <w:numId w:val="1"/>
        </w:numPr>
        <w:rPr>
          <w:sz w:val="24"/>
          <w:szCs w:val="24"/>
          <w:vertAlign w:val="superscript"/>
        </w:rPr>
      </w:pPr>
      <w:r w:rsidRPr="00A85E33">
        <w:rPr>
          <w:sz w:val="24"/>
          <w:szCs w:val="24"/>
        </w:rPr>
        <w:t xml:space="preserve">L'amiante chrysotile est la principale cause </w:t>
      </w:r>
      <w:r w:rsidR="00B36C85" w:rsidRPr="00A85E33">
        <w:rPr>
          <w:sz w:val="24"/>
          <w:szCs w:val="24"/>
        </w:rPr>
        <w:t>de</w:t>
      </w:r>
      <w:r w:rsidRPr="00A85E33">
        <w:rPr>
          <w:sz w:val="24"/>
          <w:szCs w:val="24"/>
        </w:rPr>
        <w:t xml:space="preserve"> maladies </w:t>
      </w:r>
      <w:r w:rsidR="00B36C85" w:rsidRPr="00A85E33">
        <w:rPr>
          <w:sz w:val="24"/>
          <w:szCs w:val="24"/>
        </w:rPr>
        <w:t xml:space="preserve">liées à l’amiante </w:t>
      </w:r>
      <w:r w:rsidRPr="00A85E33">
        <w:rPr>
          <w:sz w:val="24"/>
          <w:szCs w:val="24"/>
        </w:rPr>
        <w:t xml:space="preserve">dans le monde aujourd'hui. L'amiante chrysotile, </w:t>
      </w:r>
      <w:r w:rsidR="00B36C85" w:rsidRPr="00A85E33">
        <w:rPr>
          <w:sz w:val="24"/>
          <w:szCs w:val="24"/>
        </w:rPr>
        <w:t>comme</w:t>
      </w:r>
      <w:r w:rsidRPr="00A85E33">
        <w:rPr>
          <w:sz w:val="24"/>
          <w:szCs w:val="24"/>
        </w:rPr>
        <w:t xml:space="preserve"> tous les autres types de</w:t>
      </w:r>
      <w:r w:rsidR="00B36C85" w:rsidRPr="00A85E33">
        <w:rPr>
          <w:sz w:val="24"/>
          <w:szCs w:val="24"/>
        </w:rPr>
        <w:t xml:space="preserve"> </w:t>
      </w:r>
      <w:r w:rsidRPr="00A85E33">
        <w:rPr>
          <w:sz w:val="24"/>
          <w:szCs w:val="24"/>
        </w:rPr>
        <w:t xml:space="preserve">l'amiante, sont sans aucun doute </w:t>
      </w:r>
      <w:r w:rsidR="00B36C85" w:rsidRPr="00A85E33">
        <w:rPr>
          <w:sz w:val="24"/>
          <w:szCs w:val="24"/>
        </w:rPr>
        <w:t xml:space="preserve">possible, </w:t>
      </w:r>
      <w:r w:rsidRPr="00A85E33">
        <w:rPr>
          <w:sz w:val="24"/>
          <w:szCs w:val="24"/>
        </w:rPr>
        <w:t>connus pour causer le cancer du poumon,</w:t>
      </w:r>
      <w:r w:rsidR="00B36C85" w:rsidRPr="00A85E33">
        <w:rPr>
          <w:sz w:val="24"/>
          <w:szCs w:val="24"/>
        </w:rPr>
        <w:t xml:space="preserve"> le </w:t>
      </w:r>
      <w:r w:rsidRPr="00A85E33">
        <w:rPr>
          <w:sz w:val="24"/>
          <w:szCs w:val="24"/>
        </w:rPr>
        <w:t xml:space="preserve">mésothéliome, </w:t>
      </w:r>
      <w:r w:rsidR="00B36C85" w:rsidRPr="00A85E33">
        <w:rPr>
          <w:sz w:val="24"/>
          <w:szCs w:val="24"/>
        </w:rPr>
        <w:t>l’</w:t>
      </w:r>
      <w:r w:rsidRPr="00A85E33">
        <w:rPr>
          <w:sz w:val="24"/>
          <w:szCs w:val="24"/>
        </w:rPr>
        <w:t xml:space="preserve">asbestose, </w:t>
      </w:r>
      <w:r w:rsidR="00B36C85" w:rsidRPr="00A85E33">
        <w:rPr>
          <w:sz w:val="24"/>
          <w:szCs w:val="24"/>
        </w:rPr>
        <w:t xml:space="preserve">le </w:t>
      </w:r>
      <w:r w:rsidRPr="00A85E33">
        <w:rPr>
          <w:sz w:val="24"/>
          <w:szCs w:val="24"/>
        </w:rPr>
        <w:t xml:space="preserve">cancer du larynx et </w:t>
      </w:r>
      <w:r w:rsidR="00B36C85" w:rsidRPr="00A85E33">
        <w:rPr>
          <w:sz w:val="24"/>
          <w:szCs w:val="24"/>
        </w:rPr>
        <w:t xml:space="preserve">le </w:t>
      </w:r>
      <w:r w:rsidRPr="00A85E33">
        <w:rPr>
          <w:sz w:val="24"/>
          <w:szCs w:val="24"/>
        </w:rPr>
        <w:t xml:space="preserve">cancer de l'ovaire. </w:t>
      </w:r>
      <w:r w:rsidR="00B36C85" w:rsidRPr="00A85E33">
        <w:rPr>
          <w:sz w:val="24"/>
          <w:szCs w:val="24"/>
        </w:rPr>
        <w:t>Au plan</w:t>
      </w:r>
      <w:r w:rsidRPr="00A85E33">
        <w:rPr>
          <w:sz w:val="24"/>
          <w:szCs w:val="24"/>
        </w:rPr>
        <w:t xml:space="preserve"> international</w:t>
      </w:r>
      <w:r w:rsidR="00B36C85" w:rsidRPr="00A85E33">
        <w:rPr>
          <w:sz w:val="24"/>
          <w:szCs w:val="24"/>
        </w:rPr>
        <w:t xml:space="preserve">, l’existence d’un </w:t>
      </w:r>
      <w:r w:rsidRPr="00A85E33">
        <w:rPr>
          <w:sz w:val="24"/>
          <w:szCs w:val="24"/>
        </w:rPr>
        <w:t xml:space="preserve">le lien direct </w:t>
      </w:r>
      <w:r w:rsidR="00B36C85" w:rsidRPr="00A85E33">
        <w:rPr>
          <w:sz w:val="24"/>
          <w:szCs w:val="24"/>
        </w:rPr>
        <w:t>entre le</w:t>
      </w:r>
      <w:r w:rsidRPr="00A85E33">
        <w:rPr>
          <w:sz w:val="24"/>
          <w:szCs w:val="24"/>
        </w:rPr>
        <w:t xml:space="preserve"> chrysotile à </w:t>
      </w:r>
      <w:r w:rsidR="00B36C85" w:rsidRPr="00A85E33">
        <w:rPr>
          <w:sz w:val="24"/>
          <w:szCs w:val="24"/>
        </w:rPr>
        <w:t>une série de</w:t>
      </w:r>
      <w:r w:rsidRPr="00A85E33">
        <w:rPr>
          <w:sz w:val="24"/>
          <w:szCs w:val="24"/>
        </w:rPr>
        <w:t xml:space="preserve"> cancers</w:t>
      </w:r>
      <w:r w:rsidR="00B36C85" w:rsidRPr="00A85E33">
        <w:rPr>
          <w:sz w:val="24"/>
          <w:szCs w:val="24"/>
        </w:rPr>
        <w:t xml:space="preserve"> est clairement prouvée</w:t>
      </w:r>
      <w:r w:rsidRPr="00A85E33">
        <w:rPr>
          <w:sz w:val="24"/>
          <w:szCs w:val="24"/>
        </w:rPr>
        <w:t xml:space="preserve"> et bien documentés par </w:t>
      </w:r>
      <w:proofErr w:type="spellStart"/>
      <w:r w:rsidR="00B36C85" w:rsidRPr="00A85E33">
        <w:rPr>
          <w:sz w:val="24"/>
          <w:szCs w:val="24"/>
        </w:rPr>
        <w:t>lke</w:t>
      </w:r>
      <w:proofErr w:type="spellEnd"/>
      <w:r w:rsidR="00B36C85" w:rsidRPr="00A85E33">
        <w:rPr>
          <w:sz w:val="24"/>
          <w:szCs w:val="24"/>
        </w:rPr>
        <w:t xml:space="preserve"> Centre international de</w:t>
      </w:r>
      <w:r w:rsidRPr="00A85E33">
        <w:rPr>
          <w:sz w:val="24"/>
          <w:szCs w:val="24"/>
        </w:rPr>
        <w:t xml:space="preserve"> recherche sur le cancer (CIRC</w:t>
      </w:r>
      <w:proofErr w:type="gramStart"/>
      <w:r w:rsidRPr="00A85E33">
        <w:rPr>
          <w:sz w:val="24"/>
          <w:szCs w:val="24"/>
        </w:rPr>
        <w:t>)</w:t>
      </w:r>
      <w:r w:rsidR="00B36C85" w:rsidRPr="00A85E33">
        <w:rPr>
          <w:sz w:val="24"/>
          <w:szCs w:val="24"/>
          <w:vertAlign w:val="superscript"/>
        </w:rPr>
        <w:t xml:space="preserve"> </w:t>
      </w:r>
      <w:proofErr w:type="gramEnd"/>
      <w:r w:rsidR="0073106F" w:rsidRPr="00A85E33">
        <w:rPr>
          <w:rStyle w:val="Appelnotedebasdep"/>
          <w:sz w:val="24"/>
          <w:szCs w:val="24"/>
        </w:rPr>
        <w:footnoteReference w:id="1"/>
      </w:r>
      <w:r w:rsidR="00B36C85" w:rsidRPr="00A85E33">
        <w:rPr>
          <w:sz w:val="24"/>
          <w:szCs w:val="24"/>
        </w:rPr>
        <w:t>.</w:t>
      </w:r>
      <w:r w:rsidRPr="00A85E33">
        <w:rPr>
          <w:sz w:val="24"/>
          <w:szCs w:val="24"/>
        </w:rPr>
        <w:t xml:space="preserve"> </w:t>
      </w:r>
    </w:p>
    <w:p w:rsidR="00B36C85" w:rsidRPr="00A85E33" w:rsidRDefault="00B36C85" w:rsidP="00B36C85">
      <w:pPr>
        <w:pStyle w:val="Paragraphedeliste"/>
        <w:rPr>
          <w:sz w:val="24"/>
          <w:szCs w:val="24"/>
          <w:vertAlign w:val="superscript"/>
        </w:rPr>
      </w:pPr>
    </w:p>
    <w:p w:rsidR="00A1742B" w:rsidRPr="00A85E33" w:rsidRDefault="00B36C85" w:rsidP="00BA5FE4">
      <w:pPr>
        <w:pStyle w:val="Paragraphedeliste"/>
        <w:numPr>
          <w:ilvl w:val="0"/>
          <w:numId w:val="1"/>
        </w:numPr>
        <w:rPr>
          <w:sz w:val="24"/>
          <w:szCs w:val="24"/>
        </w:rPr>
      </w:pPr>
      <w:r w:rsidRPr="00A85E33">
        <w:rPr>
          <w:sz w:val="24"/>
          <w:szCs w:val="24"/>
        </w:rPr>
        <w:t xml:space="preserve">Les défenseurs de la poursuite de l’utilisation </w:t>
      </w:r>
      <w:r w:rsidR="0073106F" w:rsidRPr="00A85E33">
        <w:rPr>
          <w:sz w:val="24"/>
          <w:szCs w:val="24"/>
        </w:rPr>
        <w:t>de l’amiante</w:t>
      </w:r>
      <w:r w:rsidRPr="00A85E33">
        <w:rPr>
          <w:sz w:val="24"/>
          <w:szCs w:val="24"/>
        </w:rPr>
        <w:t xml:space="preserve"> chrysotile soutiennent que </w:t>
      </w:r>
      <w:r w:rsidR="00BA5FE4" w:rsidRPr="00A85E33">
        <w:rPr>
          <w:sz w:val="24"/>
          <w:szCs w:val="24"/>
        </w:rPr>
        <w:t>les fibres de chrysotile se dissolvent dans le corps en 14 jours et</w:t>
      </w:r>
      <w:r w:rsidR="0073106F" w:rsidRPr="00A85E33">
        <w:rPr>
          <w:sz w:val="24"/>
          <w:szCs w:val="24"/>
        </w:rPr>
        <w:t xml:space="preserve"> ne </w:t>
      </w:r>
      <w:r w:rsidR="00BA5FE4" w:rsidRPr="00A85E33">
        <w:rPr>
          <w:sz w:val="24"/>
          <w:szCs w:val="24"/>
        </w:rPr>
        <w:t>provoque</w:t>
      </w:r>
      <w:r w:rsidR="0073106F" w:rsidRPr="00A85E33">
        <w:rPr>
          <w:sz w:val="24"/>
          <w:szCs w:val="24"/>
        </w:rPr>
        <w:t>nt donc</w:t>
      </w:r>
      <w:r w:rsidR="00BA5FE4" w:rsidRPr="00A85E33">
        <w:rPr>
          <w:sz w:val="24"/>
          <w:szCs w:val="24"/>
        </w:rPr>
        <w:t xml:space="preserve"> pas de maladie </w:t>
      </w:r>
      <w:r w:rsidR="0073106F" w:rsidRPr="00A85E33">
        <w:rPr>
          <w:sz w:val="24"/>
          <w:szCs w:val="24"/>
        </w:rPr>
        <w:t xml:space="preserve">liée à </w:t>
      </w:r>
      <w:r w:rsidR="00BA5FE4" w:rsidRPr="00A85E33">
        <w:rPr>
          <w:sz w:val="24"/>
          <w:szCs w:val="24"/>
        </w:rPr>
        <w:t xml:space="preserve"> l'amiante</w:t>
      </w:r>
      <w:r w:rsidR="0073106F" w:rsidRPr="00A85E33">
        <w:rPr>
          <w:sz w:val="24"/>
          <w:szCs w:val="24"/>
        </w:rPr>
        <w:t>. Cette affirmation est totalement erronée</w:t>
      </w:r>
      <w:r w:rsidR="0073106F" w:rsidRPr="00A85E33">
        <w:rPr>
          <w:rStyle w:val="Appelnotedebasdep"/>
          <w:sz w:val="24"/>
          <w:szCs w:val="24"/>
        </w:rPr>
        <w:footnoteReference w:id="2"/>
      </w:r>
      <w:r w:rsidR="0073106F" w:rsidRPr="00A85E33">
        <w:rPr>
          <w:sz w:val="24"/>
          <w:szCs w:val="24"/>
        </w:rPr>
        <w:t>.</w:t>
      </w:r>
    </w:p>
    <w:p w:rsidR="0073106F" w:rsidRPr="00A85E33" w:rsidRDefault="0073106F" w:rsidP="0073106F">
      <w:pPr>
        <w:pStyle w:val="Paragraphedeliste"/>
        <w:rPr>
          <w:sz w:val="24"/>
          <w:szCs w:val="24"/>
        </w:rPr>
      </w:pPr>
    </w:p>
    <w:p w:rsidR="0073106F" w:rsidRPr="00A85E33" w:rsidRDefault="0073106F" w:rsidP="00C8521C">
      <w:pPr>
        <w:pStyle w:val="Paragraphedeliste"/>
        <w:numPr>
          <w:ilvl w:val="0"/>
          <w:numId w:val="1"/>
        </w:numPr>
        <w:rPr>
          <w:sz w:val="24"/>
          <w:szCs w:val="24"/>
        </w:rPr>
      </w:pPr>
      <w:r w:rsidRPr="00A85E33">
        <w:rPr>
          <w:sz w:val="24"/>
          <w:szCs w:val="24"/>
        </w:rPr>
        <w:t>Ceux qui préconisent de poursuivre l'utilisation de l’amiante chrysotile soutiennent que 80% de la planète utilise encore de l’amiante chrysotile. C’est faux. La majorité des pays du monde a officiellement interdit le chrysotile ou a abandonné son utilisation industrielle en raison de l’héritage mortel qu’elle laisse aux travailleurs et à la population.</w:t>
      </w:r>
      <w:r w:rsidR="00C8521C" w:rsidRPr="00A85E33">
        <w:rPr>
          <w:sz w:val="24"/>
          <w:szCs w:val="24"/>
        </w:rPr>
        <w:t xml:space="preserve"> </w:t>
      </w:r>
      <w:r w:rsidRPr="00A85E33">
        <w:rPr>
          <w:sz w:val="24"/>
          <w:szCs w:val="24"/>
        </w:rPr>
        <w:t>Seul</w:t>
      </w:r>
      <w:r w:rsidR="00C8521C" w:rsidRPr="00A85E33">
        <w:rPr>
          <w:sz w:val="24"/>
          <w:szCs w:val="24"/>
        </w:rPr>
        <w:t>s</w:t>
      </w:r>
      <w:r w:rsidRPr="00A85E33">
        <w:rPr>
          <w:sz w:val="24"/>
          <w:szCs w:val="24"/>
        </w:rPr>
        <w:t xml:space="preserve"> 87 pays</w:t>
      </w:r>
      <w:r w:rsidR="00C8521C" w:rsidRPr="00A85E33">
        <w:rPr>
          <w:sz w:val="24"/>
          <w:szCs w:val="24"/>
        </w:rPr>
        <w:t xml:space="preserve"> ont consommé de l’amiante brut</w:t>
      </w:r>
      <w:r w:rsidRPr="00A85E33">
        <w:rPr>
          <w:sz w:val="24"/>
          <w:szCs w:val="24"/>
        </w:rPr>
        <w:t xml:space="preserve"> en 2015 et</w:t>
      </w:r>
      <w:r w:rsidR="00C8521C" w:rsidRPr="00A85E33">
        <w:rPr>
          <w:sz w:val="24"/>
          <w:szCs w:val="24"/>
        </w:rPr>
        <w:t xml:space="preserve"> - pour</w:t>
      </w:r>
      <w:r w:rsidRPr="00A85E33">
        <w:rPr>
          <w:sz w:val="24"/>
          <w:szCs w:val="24"/>
        </w:rPr>
        <w:t xml:space="preserve"> la plupart </w:t>
      </w:r>
      <w:r w:rsidR="00C8521C" w:rsidRPr="00A85E33">
        <w:rPr>
          <w:sz w:val="24"/>
          <w:szCs w:val="24"/>
        </w:rPr>
        <w:t xml:space="preserve">d’entre eux – en très petites quantités.  </w:t>
      </w:r>
      <w:r w:rsidRPr="00A85E33">
        <w:rPr>
          <w:sz w:val="24"/>
          <w:szCs w:val="24"/>
        </w:rPr>
        <w:t>Moins de 15% des 195 pays membres de l'ONU ont utilisé plus de 1 000 tonnes</w:t>
      </w:r>
      <w:r w:rsidR="00C8521C" w:rsidRPr="00A85E33">
        <w:rPr>
          <w:sz w:val="24"/>
          <w:szCs w:val="24"/>
        </w:rPr>
        <w:t xml:space="preserve"> d</w:t>
      </w:r>
      <w:r w:rsidRPr="00A85E33">
        <w:rPr>
          <w:sz w:val="24"/>
          <w:szCs w:val="24"/>
        </w:rPr>
        <w:t xml:space="preserve">'amiante chrysotile en 2015. </w:t>
      </w:r>
      <w:r w:rsidR="00C8521C" w:rsidRPr="00A85E33">
        <w:rPr>
          <w:sz w:val="24"/>
          <w:szCs w:val="24"/>
        </w:rPr>
        <w:t>Cette année-là</w:t>
      </w:r>
      <w:r w:rsidRPr="00A85E33">
        <w:rPr>
          <w:sz w:val="24"/>
          <w:szCs w:val="24"/>
        </w:rPr>
        <w:t>,</w:t>
      </w:r>
      <w:r w:rsidR="00C8521C" w:rsidRPr="00A85E33">
        <w:rPr>
          <w:sz w:val="24"/>
          <w:szCs w:val="24"/>
        </w:rPr>
        <w:t xml:space="preserve"> il n’y a que</w:t>
      </w:r>
      <w:r w:rsidRPr="00A85E33">
        <w:rPr>
          <w:sz w:val="24"/>
          <w:szCs w:val="24"/>
        </w:rPr>
        <w:t xml:space="preserve"> sept pays </w:t>
      </w:r>
      <w:r w:rsidR="00C8521C" w:rsidRPr="00A85E33">
        <w:rPr>
          <w:sz w:val="24"/>
          <w:szCs w:val="24"/>
        </w:rPr>
        <w:t xml:space="preserve">au monde à en avoir utilisé </w:t>
      </w:r>
      <w:r w:rsidRPr="00A85E33">
        <w:rPr>
          <w:sz w:val="24"/>
          <w:szCs w:val="24"/>
        </w:rPr>
        <w:t>plus de 50 000 tonnes (Chine, Inde, Indonésie,</w:t>
      </w:r>
      <w:r w:rsidR="00C8521C" w:rsidRPr="00A85E33">
        <w:rPr>
          <w:sz w:val="24"/>
          <w:szCs w:val="24"/>
        </w:rPr>
        <w:t xml:space="preserve"> </w:t>
      </w:r>
      <w:r w:rsidRPr="00A85E33">
        <w:rPr>
          <w:sz w:val="24"/>
          <w:szCs w:val="24"/>
        </w:rPr>
        <w:t xml:space="preserve">Vietnam, Ouzbékistan, Russie et Brésil). L'Asie est maintenant </w:t>
      </w:r>
      <w:r w:rsidR="00C8521C" w:rsidRPr="00A85E33">
        <w:rPr>
          <w:sz w:val="24"/>
          <w:szCs w:val="24"/>
        </w:rPr>
        <w:t>la dernière grande région du monde à</w:t>
      </w:r>
      <w:r w:rsidRPr="00A85E33">
        <w:rPr>
          <w:sz w:val="24"/>
          <w:szCs w:val="24"/>
        </w:rPr>
        <w:t xml:space="preserve"> consomm</w:t>
      </w:r>
      <w:r w:rsidR="00C8521C" w:rsidRPr="00A85E33">
        <w:rPr>
          <w:sz w:val="24"/>
          <w:szCs w:val="24"/>
        </w:rPr>
        <w:t>er</w:t>
      </w:r>
      <w:r w:rsidRPr="00A85E33">
        <w:rPr>
          <w:sz w:val="24"/>
          <w:szCs w:val="24"/>
        </w:rPr>
        <w:t xml:space="preserve"> de l'amiante chrysotile</w:t>
      </w:r>
      <w:r w:rsidR="00C8521C" w:rsidRPr="00A85E33">
        <w:rPr>
          <w:sz w:val="24"/>
          <w:szCs w:val="24"/>
        </w:rPr>
        <w:t xml:space="preserve">, représentant, à elle seule, </w:t>
      </w:r>
      <w:r w:rsidRPr="00A85E33">
        <w:rPr>
          <w:sz w:val="24"/>
          <w:szCs w:val="24"/>
        </w:rPr>
        <w:t xml:space="preserve">plus de 75% </w:t>
      </w:r>
      <w:proofErr w:type="gramStart"/>
      <w:r w:rsidRPr="00A85E33">
        <w:rPr>
          <w:sz w:val="24"/>
          <w:szCs w:val="24"/>
        </w:rPr>
        <w:t>des</w:t>
      </w:r>
      <w:r w:rsidR="00C8521C" w:rsidRPr="00A85E33">
        <w:rPr>
          <w:sz w:val="24"/>
          <w:szCs w:val="24"/>
        </w:rPr>
        <w:t xml:space="preserve"> consommation annuelle mondiale</w:t>
      </w:r>
      <w:proofErr w:type="gramEnd"/>
      <w:r w:rsidR="00C8521C" w:rsidRPr="00A85E33">
        <w:rPr>
          <w:rStyle w:val="Appelnotedebasdep"/>
          <w:sz w:val="24"/>
          <w:szCs w:val="24"/>
        </w:rPr>
        <w:footnoteReference w:id="3"/>
      </w:r>
    </w:p>
    <w:p w:rsidR="00C8521C" w:rsidRPr="00A85E33" w:rsidRDefault="00C8521C" w:rsidP="00C8521C">
      <w:pPr>
        <w:pStyle w:val="Paragraphedeliste"/>
        <w:rPr>
          <w:sz w:val="24"/>
          <w:szCs w:val="24"/>
        </w:rPr>
      </w:pPr>
    </w:p>
    <w:p w:rsidR="00C8521C" w:rsidRPr="00A85E33" w:rsidRDefault="00C8521C" w:rsidP="00C8521C">
      <w:pPr>
        <w:pStyle w:val="Paragraphedeliste"/>
        <w:numPr>
          <w:ilvl w:val="0"/>
          <w:numId w:val="1"/>
        </w:numPr>
        <w:rPr>
          <w:sz w:val="24"/>
          <w:szCs w:val="24"/>
        </w:rPr>
      </w:pPr>
      <w:r w:rsidRPr="00A85E33">
        <w:rPr>
          <w:sz w:val="24"/>
          <w:szCs w:val="24"/>
        </w:rPr>
        <w:t xml:space="preserve">La conférence plénière de tous les </w:t>
      </w:r>
      <w:r w:rsidR="00621E37" w:rsidRPr="00A85E33">
        <w:rPr>
          <w:sz w:val="24"/>
          <w:szCs w:val="24"/>
        </w:rPr>
        <w:t>États</w:t>
      </w:r>
      <w:r w:rsidRPr="00A85E33">
        <w:rPr>
          <w:sz w:val="24"/>
          <w:szCs w:val="24"/>
        </w:rPr>
        <w:t xml:space="preserve"> membres de l’Organisation </w:t>
      </w:r>
      <w:r w:rsidR="00621E37" w:rsidRPr="00A85E33">
        <w:rPr>
          <w:sz w:val="24"/>
          <w:szCs w:val="24"/>
        </w:rPr>
        <w:t>internationale</w:t>
      </w:r>
      <w:r w:rsidRPr="00A85E33">
        <w:rPr>
          <w:sz w:val="24"/>
          <w:szCs w:val="24"/>
        </w:rPr>
        <w:t xml:space="preserve"> du travail (OIT) a déclaré en 2006 que </w:t>
      </w:r>
      <w:r w:rsidR="00621E37" w:rsidRPr="00A85E33">
        <w:rPr>
          <w:sz w:val="24"/>
          <w:szCs w:val="24"/>
        </w:rPr>
        <w:t>l’arrêt de toute utilisation de l’amiante était le plus sûr moyen de protéger les travailleurs de l’exposition à l’amiante et d’éviter de futures pathologies</w:t>
      </w:r>
      <w:r w:rsidR="00621E37" w:rsidRPr="00A85E33">
        <w:rPr>
          <w:rStyle w:val="Appelnotedebasdep"/>
          <w:sz w:val="24"/>
          <w:szCs w:val="24"/>
        </w:rPr>
        <w:footnoteReference w:id="4"/>
      </w:r>
      <w:r w:rsidR="00621E37" w:rsidRPr="00A85E33">
        <w:rPr>
          <w:sz w:val="24"/>
          <w:szCs w:val="24"/>
        </w:rPr>
        <w:t>.</w:t>
      </w:r>
    </w:p>
    <w:p w:rsidR="00621E37" w:rsidRPr="00A85E33" w:rsidRDefault="00621E37" w:rsidP="00621E37">
      <w:pPr>
        <w:pStyle w:val="Paragraphedeliste"/>
        <w:rPr>
          <w:sz w:val="24"/>
          <w:szCs w:val="24"/>
        </w:rPr>
      </w:pPr>
    </w:p>
    <w:p w:rsidR="00621E37" w:rsidRPr="00A85E33" w:rsidRDefault="00621E37" w:rsidP="00C8521C">
      <w:pPr>
        <w:pStyle w:val="Paragraphedeliste"/>
        <w:numPr>
          <w:ilvl w:val="0"/>
          <w:numId w:val="1"/>
        </w:numPr>
        <w:rPr>
          <w:sz w:val="24"/>
          <w:szCs w:val="24"/>
        </w:rPr>
      </w:pPr>
      <w:r w:rsidRPr="00A85E33">
        <w:rPr>
          <w:sz w:val="24"/>
          <w:szCs w:val="24"/>
        </w:rPr>
        <w:t>L’organisation Mondiale de la Santé (OMS) a déclaré à plusieurs reprises que « le moyen le plus efficace d’éliminer les maladies liées à l’amiante est d’arrêter d’utiliser tous les types d’amiante</w:t>
      </w:r>
      <w:r w:rsidRPr="00A85E33">
        <w:rPr>
          <w:rStyle w:val="Appelnotedebasdep"/>
          <w:sz w:val="24"/>
          <w:szCs w:val="24"/>
        </w:rPr>
        <w:footnoteReference w:id="5"/>
      </w:r>
    </w:p>
    <w:p w:rsidR="00621E37" w:rsidRPr="00A85E33" w:rsidRDefault="00621E37" w:rsidP="00621E37">
      <w:pPr>
        <w:pStyle w:val="Paragraphedeliste"/>
        <w:rPr>
          <w:sz w:val="24"/>
          <w:szCs w:val="24"/>
        </w:rPr>
      </w:pPr>
    </w:p>
    <w:p w:rsidR="00621E37" w:rsidRPr="00A85E33" w:rsidRDefault="00621E37" w:rsidP="00115905">
      <w:pPr>
        <w:pStyle w:val="Paragraphedeliste"/>
        <w:numPr>
          <w:ilvl w:val="0"/>
          <w:numId w:val="1"/>
        </w:numPr>
        <w:rPr>
          <w:sz w:val="24"/>
          <w:szCs w:val="24"/>
        </w:rPr>
      </w:pPr>
      <w:r w:rsidRPr="00A85E33">
        <w:rPr>
          <w:sz w:val="24"/>
          <w:szCs w:val="24"/>
        </w:rPr>
        <w:t xml:space="preserve">Il est impossible de garantir « l'utilisation en toute sécurité » de l'amiante tout au long de la chaîne d'approvisionnement. Les </w:t>
      </w:r>
      <w:r w:rsidR="00115905" w:rsidRPr="00A85E33">
        <w:rPr>
          <w:sz w:val="24"/>
          <w:szCs w:val="24"/>
        </w:rPr>
        <w:t>statistiques montrent toujours</w:t>
      </w:r>
      <w:r w:rsidRPr="00A85E33">
        <w:rPr>
          <w:sz w:val="24"/>
          <w:szCs w:val="24"/>
        </w:rPr>
        <w:t xml:space="preserve"> que le nombre de maladies liées à l’amiante par pays est directement proportionnel à la consommation nationale d'amiante.</w:t>
      </w:r>
      <w:r w:rsidR="00115905" w:rsidRPr="00A85E33">
        <w:rPr>
          <w:sz w:val="24"/>
          <w:szCs w:val="24"/>
        </w:rPr>
        <w:t xml:space="preserve"> La confirmation en est donnée par la situation des pays industrialisés où le lourd fardeau des maladies liées à l’amiante est en lien direct avec leur consommation d’amiante plusieurs décennies auparavant, malgré toutes les tentatives de mettre en œuvre une « utilisation en toute sécurité » de l’amiante</w:t>
      </w:r>
      <w:r w:rsidR="00115905" w:rsidRPr="00A85E33">
        <w:rPr>
          <w:rStyle w:val="Appelnotedebasdep"/>
          <w:sz w:val="24"/>
          <w:szCs w:val="24"/>
        </w:rPr>
        <w:footnoteReference w:id="6"/>
      </w:r>
    </w:p>
    <w:p w:rsidR="00115905" w:rsidRPr="00A85E33" w:rsidRDefault="00115905" w:rsidP="00115905">
      <w:pPr>
        <w:pStyle w:val="Paragraphedeliste"/>
        <w:rPr>
          <w:sz w:val="24"/>
          <w:szCs w:val="24"/>
        </w:rPr>
      </w:pPr>
    </w:p>
    <w:p w:rsidR="00115905" w:rsidRPr="00A85E33" w:rsidRDefault="00115905" w:rsidP="00115905">
      <w:pPr>
        <w:pStyle w:val="Paragraphedeliste"/>
        <w:numPr>
          <w:ilvl w:val="0"/>
          <w:numId w:val="1"/>
        </w:numPr>
        <w:rPr>
          <w:sz w:val="24"/>
          <w:szCs w:val="24"/>
        </w:rPr>
      </w:pPr>
      <w:r w:rsidRPr="00A85E33">
        <w:rPr>
          <w:sz w:val="24"/>
          <w:szCs w:val="24"/>
        </w:rPr>
        <w:t xml:space="preserve">Le fardeau mondial des décès attribuables à l’amiante a été évalué par Global </w:t>
      </w:r>
      <w:proofErr w:type="spellStart"/>
      <w:r w:rsidRPr="00A85E33">
        <w:rPr>
          <w:sz w:val="24"/>
          <w:szCs w:val="24"/>
        </w:rPr>
        <w:t>Burden</w:t>
      </w:r>
      <w:proofErr w:type="spellEnd"/>
      <w:r w:rsidRPr="00A85E33">
        <w:rPr>
          <w:sz w:val="24"/>
          <w:szCs w:val="24"/>
        </w:rPr>
        <w:t xml:space="preserve"> of </w:t>
      </w:r>
      <w:proofErr w:type="spellStart"/>
      <w:r w:rsidRPr="00A85E33">
        <w:rPr>
          <w:sz w:val="24"/>
          <w:szCs w:val="24"/>
        </w:rPr>
        <w:t>Disease</w:t>
      </w:r>
      <w:proofErr w:type="spellEnd"/>
      <w:r w:rsidRPr="00A85E33">
        <w:rPr>
          <w:sz w:val="24"/>
          <w:szCs w:val="24"/>
        </w:rPr>
        <w:t xml:space="preserve"> à plus de 222 000 personnes par an</w:t>
      </w:r>
      <w:r w:rsidR="00180748" w:rsidRPr="00A85E33">
        <w:rPr>
          <w:rStyle w:val="Appelnotedebasdep"/>
          <w:sz w:val="24"/>
          <w:szCs w:val="24"/>
        </w:rPr>
        <w:footnoteReference w:id="7"/>
      </w:r>
      <w:r w:rsidRPr="00A85E33">
        <w:rPr>
          <w:sz w:val="24"/>
          <w:szCs w:val="24"/>
        </w:rPr>
        <w:t xml:space="preserve"> dans sa dernière estimation pour 2016 publiée en 2017. Et il a été démontré que même ce chiffre important et alarmant est sous-estimé.</w:t>
      </w:r>
    </w:p>
    <w:p w:rsidR="00115905" w:rsidRPr="00A85E33" w:rsidRDefault="00115905" w:rsidP="00115905">
      <w:pPr>
        <w:pStyle w:val="Paragraphedeliste"/>
        <w:rPr>
          <w:sz w:val="24"/>
          <w:szCs w:val="24"/>
        </w:rPr>
      </w:pPr>
    </w:p>
    <w:p w:rsidR="00115905" w:rsidRPr="00A85E33" w:rsidRDefault="00115905" w:rsidP="00FA7081">
      <w:pPr>
        <w:pStyle w:val="Paragraphedeliste"/>
        <w:numPr>
          <w:ilvl w:val="0"/>
          <w:numId w:val="1"/>
        </w:numPr>
        <w:rPr>
          <w:sz w:val="24"/>
          <w:szCs w:val="24"/>
        </w:rPr>
      </w:pPr>
      <w:r w:rsidRPr="00A85E33">
        <w:rPr>
          <w:sz w:val="24"/>
          <w:szCs w:val="24"/>
        </w:rPr>
        <w:t xml:space="preserve">Le </w:t>
      </w:r>
      <w:r w:rsidR="00FA7081" w:rsidRPr="00A85E33">
        <w:rPr>
          <w:sz w:val="24"/>
          <w:szCs w:val="24"/>
        </w:rPr>
        <w:t>« </w:t>
      </w:r>
      <w:r w:rsidRPr="00A85E33">
        <w:rPr>
          <w:sz w:val="24"/>
          <w:szCs w:val="24"/>
        </w:rPr>
        <w:t>faible coût</w:t>
      </w:r>
      <w:r w:rsidR="00FA7081" w:rsidRPr="00A85E33">
        <w:rPr>
          <w:sz w:val="24"/>
          <w:szCs w:val="24"/>
        </w:rPr>
        <w:t> »</w:t>
      </w:r>
      <w:r w:rsidRPr="00A85E33">
        <w:rPr>
          <w:sz w:val="24"/>
          <w:szCs w:val="24"/>
        </w:rPr>
        <w:t xml:space="preserve"> des produits contenant de l'amiante est </w:t>
      </w:r>
      <w:r w:rsidR="00FA7081" w:rsidRPr="00A85E33">
        <w:rPr>
          <w:sz w:val="24"/>
          <w:szCs w:val="24"/>
        </w:rPr>
        <w:t xml:space="preserve">un argument souvent avancé </w:t>
      </w:r>
      <w:r w:rsidRPr="00A85E33">
        <w:rPr>
          <w:sz w:val="24"/>
          <w:szCs w:val="24"/>
        </w:rPr>
        <w:t xml:space="preserve">pour </w:t>
      </w:r>
      <w:r w:rsidR="00FA7081" w:rsidRPr="00A85E33">
        <w:rPr>
          <w:sz w:val="24"/>
          <w:szCs w:val="24"/>
        </w:rPr>
        <w:t xml:space="preserve">justifier la poursuite de </w:t>
      </w:r>
      <w:r w:rsidRPr="00A85E33">
        <w:rPr>
          <w:sz w:val="24"/>
          <w:szCs w:val="24"/>
        </w:rPr>
        <w:t>l'utilisation de l'amiante, en particulier dans</w:t>
      </w:r>
      <w:r w:rsidR="00FA7081" w:rsidRPr="00A85E33">
        <w:rPr>
          <w:sz w:val="24"/>
          <w:szCs w:val="24"/>
        </w:rPr>
        <w:t xml:space="preserve"> les matériaux de construction utilisés pour des</w:t>
      </w:r>
      <w:r w:rsidRPr="00A85E33">
        <w:rPr>
          <w:sz w:val="24"/>
          <w:szCs w:val="24"/>
        </w:rPr>
        <w:t xml:space="preserve"> logement</w:t>
      </w:r>
      <w:r w:rsidR="00FA7081" w:rsidRPr="00A85E33">
        <w:rPr>
          <w:sz w:val="24"/>
          <w:szCs w:val="24"/>
        </w:rPr>
        <w:t>s</w:t>
      </w:r>
      <w:r w:rsidRPr="00A85E33">
        <w:rPr>
          <w:sz w:val="24"/>
          <w:szCs w:val="24"/>
        </w:rPr>
        <w:t xml:space="preserve"> bon marché pour les pauvres. </w:t>
      </w:r>
      <w:r w:rsidR="00FA7081" w:rsidRPr="00A85E33">
        <w:rPr>
          <w:sz w:val="24"/>
          <w:szCs w:val="24"/>
        </w:rPr>
        <w:t>Mais ce pr</w:t>
      </w:r>
      <w:bookmarkStart w:id="0" w:name="_GoBack"/>
      <w:bookmarkEnd w:id="0"/>
      <w:r w:rsidR="00FA7081" w:rsidRPr="00A85E33">
        <w:rPr>
          <w:sz w:val="24"/>
          <w:szCs w:val="24"/>
        </w:rPr>
        <w:t xml:space="preserve">étendu « faible coût » </w:t>
      </w:r>
      <w:r w:rsidRPr="00A85E33">
        <w:rPr>
          <w:sz w:val="24"/>
          <w:szCs w:val="24"/>
        </w:rPr>
        <w:t>ne tient pas compte</w:t>
      </w:r>
      <w:r w:rsidR="00FA7081" w:rsidRPr="00A85E33">
        <w:rPr>
          <w:sz w:val="24"/>
          <w:szCs w:val="24"/>
        </w:rPr>
        <w:t xml:space="preserve"> de tous les éléments à prendre en compte pour faire une comparaison valable : </w:t>
      </w:r>
      <w:r w:rsidRPr="00A85E33">
        <w:rPr>
          <w:sz w:val="24"/>
          <w:szCs w:val="24"/>
        </w:rPr>
        <w:t xml:space="preserve"> </w:t>
      </w:r>
      <w:r w:rsidR="00FA7081" w:rsidRPr="00A85E33">
        <w:rPr>
          <w:sz w:val="24"/>
          <w:szCs w:val="24"/>
        </w:rPr>
        <w:t>le</w:t>
      </w:r>
      <w:r w:rsidRPr="00A85E33">
        <w:rPr>
          <w:sz w:val="24"/>
          <w:szCs w:val="24"/>
        </w:rPr>
        <w:t xml:space="preserve"> coût des soins de santé pour les futurs patients souffrant de </w:t>
      </w:r>
      <w:r w:rsidR="00FA7081" w:rsidRPr="00A85E33">
        <w:rPr>
          <w:sz w:val="24"/>
          <w:szCs w:val="24"/>
        </w:rPr>
        <w:t>maladies liées à l’amiante</w:t>
      </w:r>
      <w:r w:rsidRPr="00A85E33">
        <w:rPr>
          <w:sz w:val="24"/>
          <w:szCs w:val="24"/>
        </w:rPr>
        <w:t xml:space="preserve">, </w:t>
      </w:r>
      <w:r w:rsidR="00FA7081" w:rsidRPr="00A85E33">
        <w:rPr>
          <w:sz w:val="24"/>
          <w:szCs w:val="24"/>
        </w:rPr>
        <w:t>les</w:t>
      </w:r>
      <w:r w:rsidRPr="00A85E33">
        <w:rPr>
          <w:sz w:val="24"/>
          <w:szCs w:val="24"/>
        </w:rPr>
        <w:t xml:space="preserve"> risques d'exposition pour</w:t>
      </w:r>
      <w:r w:rsidR="00FA7081" w:rsidRPr="00A85E33">
        <w:rPr>
          <w:sz w:val="24"/>
          <w:szCs w:val="24"/>
        </w:rPr>
        <w:t xml:space="preserve"> </w:t>
      </w:r>
      <w:r w:rsidRPr="00A85E33">
        <w:rPr>
          <w:sz w:val="24"/>
          <w:szCs w:val="24"/>
        </w:rPr>
        <w:t xml:space="preserve">ceux qui vivent dans des maisons </w:t>
      </w:r>
      <w:r w:rsidR="00FA7081" w:rsidRPr="00A85E33">
        <w:rPr>
          <w:sz w:val="24"/>
          <w:szCs w:val="24"/>
        </w:rPr>
        <w:t xml:space="preserve">dont les </w:t>
      </w:r>
      <w:r w:rsidRPr="00A85E33">
        <w:rPr>
          <w:sz w:val="24"/>
          <w:szCs w:val="24"/>
        </w:rPr>
        <w:t xml:space="preserve">toitures </w:t>
      </w:r>
      <w:r w:rsidR="00180748" w:rsidRPr="00A85E33">
        <w:rPr>
          <w:sz w:val="24"/>
          <w:szCs w:val="24"/>
        </w:rPr>
        <w:t>dégradées</w:t>
      </w:r>
      <w:r w:rsidRPr="00A85E33">
        <w:rPr>
          <w:sz w:val="24"/>
          <w:szCs w:val="24"/>
        </w:rPr>
        <w:t xml:space="preserve"> </w:t>
      </w:r>
      <w:r w:rsidR="00FA7081" w:rsidRPr="00A85E33">
        <w:rPr>
          <w:sz w:val="24"/>
          <w:szCs w:val="24"/>
        </w:rPr>
        <w:t xml:space="preserve">sont toxiques, les </w:t>
      </w:r>
      <w:r w:rsidRPr="00A85E33">
        <w:rPr>
          <w:sz w:val="24"/>
          <w:szCs w:val="24"/>
        </w:rPr>
        <w:t xml:space="preserve">coûts </w:t>
      </w:r>
      <w:r w:rsidR="00FA7081" w:rsidRPr="00A85E33">
        <w:rPr>
          <w:sz w:val="24"/>
          <w:szCs w:val="24"/>
        </w:rPr>
        <w:t>qui seront</w:t>
      </w:r>
      <w:r w:rsidRPr="00A85E33">
        <w:rPr>
          <w:sz w:val="24"/>
          <w:szCs w:val="24"/>
        </w:rPr>
        <w:t xml:space="preserve"> </w:t>
      </w:r>
      <w:r w:rsidR="00FA7081" w:rsidRPr="00A85E33">
        <w:rPr>
          <w:sz w:val="24"/>
          <w:szCs w:val="24"/>
        </w:rPr>
        <w:t>occasionnés par</w:t>
      </w:r>
      <w:r w:rsidRPr="00A85E33">
        <w:rPr>
          <w:sz w:val="24"/>
          <w:szCs w:val="24"/>
        </w:rPr>
        <w:t xml:space="preserve"> l'enlèvement et l'élimination </w:t>
      </w:r>
      <w:r w:rsidR="00FA7081" w:rsidRPr="00A85E33">
        <w:rPr>
          <w:sz w:val="24"/>
          <w:szCs w:val="24"/>
        </w:rPr>
        <w:t>en toute sécurité</w:t>
      </w:r>
      <w:r w:rsidRPr="00A85E33">
        <w:rPr>
          <w:sz w:val="24"/>
          <w:szCs w:val="24"/>
        </w:rPr>
        <w:t xml:space="preserve"> des déchets contenant de l'amiante</w:t>
      </w:r>
      <w:r w:rsidR="00FA7081" w:rsidRPr="00A85E33">
        <w:rPr>
          <w:sz w:val="24"/>
          <w:szCs w:val="24"/>
        </w:rPr>
        <w:t xml:space="preserve"> </w:t>
      </w:r>
      <w:r w:rsidRPr="00A85E33">
        <w:rPr>
          <w:sz w:val="24"/>
          <w:szCs w:val="24"/>
        </w:rPr>
        <w:t>provenant de bâtiments et d'autres produits.</w:t>
      </w:r>
    </w:p>
    <w:p w:rsidR="00FA7081" w:rsidRPr="00A85E33" w:rsidRDefault="00FA7081" w:rsidP="00FA7081">
      <w:pPr>
        <w:pStyle w:val="Paragraphedeliste"/>
        <w:rPr>
          <w:sz w:val="24"/>
          <w:szCs w:val="24"/>
        </w:rPr>
      </w:pPr>
    </w:p>
    <w:p w:rsidR="00115905" w:rsidRPr="00A85E33" w:rsidRDefault="00FA7081" w:rsidP="00180748">
      <w:pPr>
        <w:pStyle w:val="Paragraphedeliste"/>
        <w:numPr>
          <w:ilvl w:val="0"/>
          <w:numId w:val="1"/>
        </w:numPr>
        <w:rPr>
          <w:sz w:val="24"/>
          <w:szCs w:val="24"/>
        </w:rPr>
      </w:pPr>
      <w:r w:rsidRPr="00A85E33">
        <w:rPr>
          <w:sz w:val="24"/>
          <w:szCs w:val="24"/>
        </w:rPr>
        <w:t xml:space="preserve">Il </w:t>
      </w:r>
      <w:r w:rsidR="00115905" w:rsidRPr="00A85E33">
        <w:rPr>
          <w:sz w:val="24"/>
          <w:szCs w:val="24"/>
        </w:rPr>
        <w:t xml:space="preserve">existe des </w:t>
      </w:r>
      <w:r w:rsidRPr="00A85E33">
        <w:rPr>
          <w:sz w:val="24"/>
          <w:szCs w:val="24"/>
        </w:rPr>
        <w:t>produits de substitution</w:t>
      </w:r>
      <w:r w:rsidR="00115905" w:rsidRPr="00A85E33">
        <w:rPr>
          <w:sz w:val="24"/>
          <w:szCs w:val="24"/>
        </w:rPr>
        <w:t xml:space="preserve"> </w:t>
      </w:r>
      <w:r w:rsidR="00180748" w:rsidRPr="00A85E33">
        <w:rPr>
          <w:sz w:val="24"/>
          <w:szCs w:val="24"/>
        </w:rPr>
        <w:t xml:space="preserve">sûrs et économiquement viables pour remplacer les produits contenant de </w:t>
      </w:r>
      <w:r w:rsidR="00115905" w:rsidRPr="00A85E33">
        <w:rPr>
          <w:sz w:val="24"/>
          <w:szCs w:val="24"/>
        </w:rPr>
        <w:t>l'amiante</w:t>
      </w:r>
      <w:r w:rsidR="00180748" w:rsidRPr="00A85E33">
        <w:rPr>
          <w:sz w:val="24"/>
          <w:szCs w:val="24"/>
        </w:rPr>
        <w:t xml:space="preserve">. Ils </w:t>
      </w:r>
      <w:r w:rsidR="00115905" w:rsidRPr="00A85E33">
        <w:rPr>
          <w:sz w:val="24"/>
          <w:szCs w:val="24"/>
        </w:rPr>
        <w:t xml:space="preserve">sont déjà utilisés en Asie et </w:t>
      </w:r>
      <w:r w:rsidR="00180748" w:rsidRPr="00A85E33">
        <w:rPr>
          <w:sz w:val="24"/>
          <w:szCs w:val="24"/>
        </w:rPr>
        <w:t xml:space="preserve">dans </w:t>
      </w:r>
      <w:r w:rsidR="00115905" w:rsidRPr="00A85E33">
        <w:rPr>
          <w:sz w:val="24"/>
          <w:szCs w:val="24"/>
        </w:rPr>
        <w:t>tous les pays</w:t>
      </w:r>
      <w:r w:rsidR="00180748" w:rsidRPr="00A85E33">
        <w:rPr>
          <w:sz w:val="24"/>
          <w:szCs w:val="24"/>
        </w:rPr>
        <w:t xml:space="preserve"> </w:t>
      </w:r>
      <w:r w:rsidR="00115905" w:rsidRPr="00A85E33">
        <w:rPr>
          <w:sz w:val="24"/>
          <w:szCs w:val="24"/>
        </w:rPr>
        <w:t>qui ont interdit l'amiante</w:t>
      </w:r>
      <w:r w:rsidR="00180748" w:rsidRPr="00A85E33">
        <w:rPr>
          <w:rStyle w:val="Appelnotedebasdep"/>
          <w:sz w:val="24"/>
          <w:szCs w:val="24"/>
        </w:rPr>
        <w:footnoteReference w:id="8"/>
      </w:r>
      <w:r w:rsidR="00180748" w:rsidRPr="00A85E33">
        <w:rPr>
          <w:sz w:val="24"/>
          <w:szCs w:val="24"/>
        </w:rPr>
        <w:t>.</w:t>
      </w:r>
    </w:p>
    <w:p w:rsidR="00180748" w:rsidRPr="00A85E33" w:rsidRDefault="00180748" w:rsidP="00180748">
      <w:pPr>
        <w:pStyle w:val="Paragraphedeliste"/>
        <w:rPr>
          <w:sz w:val="24"/>
          <w:szCs w:val="24"/>
        </w:rPr>
      </w:pPr>
    </w:p>
    <w:p w:rsidR="00180748" w:rsidRPr="00A85E33" w:rsidRDefault="00180748" w:rsidP="00180748">
      <w:pPr>
        <w:pStyle w:val="Paragraphedeliste"/>
        <w:numPr>
          <w:ilvl w:val="0"/>
          <w:numId w:val="1"/>
        </w:numPr>
        <w:rPr>
          <w:sz w:val="24"/>
          <w:szCs w:val="24"/>
        </w:rPr>
      </w:pPr>
      <w:r w:rsidRPr="00A85E33">
        <w:rPr>
          <w:sz w:val="24"/>
          <w:szCs w:val="24"/>
        </w:rPr>
        <w:t>La technologie sans amiante développée en Asie est l’occasion de générer des emplois locaux et de nouvelles industries plus écologiques dans la région.</w:t>
      </w:r>
    </w:p>
    <w:p w:rsidR="00180748" w:rsidRPr="00A85E33" w:rsidRDefault="00180748" w:rsidP="00180748">
      <w:pPr>
        <w:pStyle w:val="Paragraphedeliste"/>
        <w:rPr>
          <w:sz w:val="24"/>
          <w:szCs w:val="24"/>
        </w:rPr>
      </w:pPr>
    </w:p>
    <w:p w:rsidR="00180748" w:rsidRPr="00A85E33" w:rsidRDefault="00180748" w:rsidP="00180748">
      <w:pPr>
        <w:pStyle w:val="Paragraphedeliste"/>
        <w:numPr>
          <w:ilvl w:val="0"/>
          <w:numId w:val="1"/>
        </w:numPr>
        <w:rPr>
          <w:sz w:val="24"/>
          <w:szCs w:val="24"/>
        </w:rPr>
      </w:pPr>
      <w:r w:rsidRPr="00A85E33">
        <w:rPr>
          <w:sz w:val="24"/>
          <w:szCs w:val="24"/>
        </w:rPr>
        <w:t>Plusieurs pays industrialisés ont connu des polémiques publiques et des procès contre les gouvernements accusés d’être incapables de protéger la santé publique en ne réagissant pas de manière appropriée aux dangers de l’amiante.</w:t>
      </w:r>
    </w:p>
    <w:p w:rsidR="00180748" w:rsidRPr="00A85E33" w:rsidRDefault="00180748" w:rsidP="00180748">
      <w:pPr>
        <w:pStyle w:val="Paragraphedeliste"/>
        <w:rPr>
          <w:sz w:val="24"/>
          <w:szCs w:val="24"/>
        </w:rPr>
      </w:pPr>
    </w:p>
    <w:p w:rsidR="00180748" w:rsidRPr="00A85E33" w:rsidRDefault="00180748" w:rsidP="00180748">
      <w:pPr>
        <w:pStyle w:val="Paragraphedeliste"/>
        <w:numPr>
          <w:ilvl w:val="0"/>
          <w:numId w:val="1"/>
        </w:numPr>
        <w:rPr>
          <w:sz w:val="24"/>
          <w:szCs w:val="24"/>
        </w:rPr>
      </w:pPr>
      <w:r w:rsidRPr="00A85E33">
        <w:rPr>
          <w:sz w:val="24"/>
          <w:szCs w:val="24"/>
        </w:rPr>
        <w:t>Une récente étude de l’OMS</w:t>
      </w:r>
      <w:r w:rsidRPr="00A85E33">
        <w:rPr>
          <w:rStyle w:val="Appelnotedebasdep"/>
          <w:sz w:val="24"/>
          <w:szCs w:val="24"/>
        </w:rPr>
        <w:footnoteReference w:id="9"/>
      </w:r>
      <w:r w:rsidRPr="00A85E33">
        <w:rPr>
          <w:sz w:val="24"/>
          <w:szCs w:val="24"/>
        </w:rPr>
        <w:t xml:space="preserve"> montre que dans tous les pays qui ont interdit l’amiante aucun effet négatif sur le produit intérieur brut (PIB) n’a été constaté.</w:t>
      </w:r>
    </w:p>
    <w:p w:rsidR="00A85E33" w:rsidRPr="00A85E33" w:rsidRDefault="00A85E33" w:rsidP="00A85E33">
      <w:pPr>
        <w:pStyle w:val="Paragraphedeliste"/>
        <w:rPr>
          <w:sz w:val="24"/>
          <w:szCs w:val="24"/>
        </w:rPr>
      </w:pPr>
    </w:p>
    <w:p w:rsidR="00A85E33" w:rsidRPr="00A85E33" w:rsidRDefault="00A85E33" w:rsidP="00A85E33">
      <w:pPr>
        <w:rPr>
          <w:sz w:val="24"/>
          <w:szCs w:val="24"/>
        </w:rPr>
      </w:pPr>
      <w:r w:rsidRPr="00A85E33">
        <w:rPr>
          <w:sz w:val="24"/>
          <w:szCs w:val="24"/>
        </w:rPr>
        <w:t>Pour s</w:t>
      </w:r>
      <w:r w:rsidRPr="00A85E33">
        <w:rPr>
          <w:sz w:val="24"/>
          <w:szCs w:val="24"/>
        </w:rPr>
        <w:t xml:space="preserve">auver des vies, </w:t>
      </w:r>
      <w:r w:rsidRPr="00A85E33">
        <w:rPr>
          <w:sz w:val="24"/>
          <w:szCs w:val="24"/>
        </w:rPr>
        <w:t xml:space="preserve">pour </w:t>
      </w:r>
      <w:r w:rsidRPr="00A85E33">
        <w:rPr>
          <w:sz w:val="24"/>
          <w:szCs w:val="24"/>
        </w:rPr>
        <w:t xml:space="preserve">réduire le fardeau futur des </w:t>
      </w:r>
      <w:r w:rsidRPr="00A85E33">
        <w:rPr>
          <w:sz w:val="24"/>
          <w:szCs w:val="24"/>
        </w:rPr>
        <w:t>maladies liées à l’amiante</w:t>
      </w:r>
      <w:r w:rsidRPr="00A85E33">
        <w:rPr>
          <w:sz w:val="24"/>
          <w:szCs w:val="24"/>
        </w:rPr>
        <w:t xml:space="preserve">, </w:t>
      </w:r>
      <w:r w:rsidRPr="00A85E33">
        <w:rPr>
          <w:sz w:val="24"/>
          <w:szCs w:val="24"/>
        </w:rPr>
        <w:t xml:space="preserve">pour </w:t>
      </w:r>
      <w:r w:rsidRPr="00A85E33">
        <w:rPr>
          <w:sz w:val="24"/>
          <w:szCs w:val="24"/>
        </w:rPr>
        <w:t>soutenir le développement du</w:t>
      </w:r>
      <w:r w:rsidRPr="00A85E33">
        <w:rPr>
          <w:sz w:val="24"/>
          <w:szCs w:val="24"/>
        </w:rPr>
        <w:t xml:space="preserve">rable de la </w:t>
      </w:r>
      <w:r w:rsidRPr="00A85E33">
        <w:rPr>
          <w:sz w:val="24"/>
          <w:szCs w:val="24"/>
        </w:rPr>
        <w:t>cr</w:t>
      </w:r>
      <w:r w:rsidRPr="00A85E33">
        <w:rPr>
          <w:sz w:val="24"/>
          <w:szCs w:val="24"/>
        </w:rPr>
        <w:t xml:space="preserve">oissance économique et pour se garder d’une </w:t>
      </w:r>
      <w:r w:rsidRPr="00A85E33">
        <w:rPr>
          <w:sz w:val="24"/>
          <w:szCs w:val="24"/>
        </w:rPr>
        <w:t xml:space="preserve">instabilité sociale </w:t>
      </w:r>
      <w:r w:rsidRPr="00A85E33">
        <w:rPr>
          <w:sz w:val="24"/>
          <w:szCs w:val="24"/>
        </w:rPr>
        <w:t>évitable</w:t>
      </w:r>
      <w:r w:rsidRPr="00A85E33">
        <w:rPr>
          <w:sz w:val="24"/>
          <w:szCs w:val="24"/>
        </w:rPr>
        <w:t xml:space="preserve"> en Asie, nous demandons</w:t>
      </w:r>
      <w:r w:rsidRPr="00A85E33">
        <w:rPr>
          <w:sz w:val="24"/>
          <w:szCs w:val="24"/>
        </w:rPr>
        <w:t xml:space="preserve"> </w:t>
      </w:r>
      <w:r w:rsidRPr="00A85E33">
        <w:rPr>
          <w:sz w:val="24"/>
          <w:szCs w:val="24"/>
        </w:rPr>
        <w:t>une action immédiate des gouvernements pour éliminer rapidement l'utilisation de l'amiante</w:t>
      </w:r>
      <w:r w:rsidRPr="00A85E33">
        <w:rPr>
          <w:sz w:val="24"/>
          <w:szCs w:val="24"/>
        </w:rPr>
        <w:t xml:space="preserve"> </w:t>
      </w:r>
      <w:r w:rsidRPr="00A85E33">
        <w:rPr>
          <w:sz w:val="24"/>
          <w:szCs w:val="24"/>
        </w:rPr>
        <w:t xml:space="preserve">dans les matériaux de construction et interdire tous les types de produits </w:t>
      </w:r>
      <w:r w:rsidRPr="00A85E33">
        <w:rPr>
          <w:sz w:val="24"/>
          <w:szCs w:val="24"/>
        </w:rPr>
        <w:t>contenant de l’amiante</w:t>
      </w:r>
      <w:r w:rsidRPr="00A85E33">
        <w:rPr>
          <w:sz w:val="24"/>
          <w:szCs w:val="24"/>
        </w:rPr>
        <w:t>.</w:t>
      </w:r>
    </w:p>
    <w:sectPr w:rsidR="00A85E33" w:rsidRPr="00A85E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748" w:rsidRDefault="00180748" w:rsidP="0073106F">
      <w:pPr>
        <w:spacing w:after="0" w:line="240" w:lineRule="auto"/>
      </w:pPr>
      <w:r>
        <w:separator/>
      </w:r>
    </w:p>
  </w:endnote>
  <w:endnote w:type="continuationSeparator" w:id="0">
    <w:p w:rsidR="00180748" w:rsidRDefault="00180748" w:rsidP="0073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748" w:rsidRDefault="00180748" w:rsidP="0073106F">
      <w:pPr>
        <w:spacing w:after="0" w:line="240" w:lineRule="auto"/>
      </w:pPr>
      <w:r>
        <w:separator/>
      </w:r>
    </w:p>
  </w:footnote>
  <w:footnote w:type="continuationSeparator" w:id="0">
    <w:p w:rsidR="00180748" w:rsidRDefault="00180748" w:rsidP="0073106F">
      <w:pPr>
        <w:spacing w:after="0" w:line="240" w:lineRule="auto"/>
      </w:pPr>
      <w:r>
        <w:continuationSeparator/>
      </w:r>
    </w:p>
  </w:footnote>
  <w:footnote w:id="1">
    <w:p w:rsidR="00180748" w:rsidRPr="0073106F" w:rsidRDefault="00180748">
      <w:pPr>
        <w:pStyle w:val="Notedebasdepage"/>
        <w:rPr>
          <w:lang w:val="en-US"/>
        </w:rPr>
      </w:pPr>
      <w:r>
        <w:rPr>
          <w:rStyle w:val="Appelnotedebasdep"/>
        </w:rPr>
        <w:footnoteRef/>
      </w:r>
      <w:r w:rsidRPr="0073106F">
        <w:rPr>
          <w:lang w:val="en-US"/>
        </w:rPr>
        <w:t xml:space="preserve">  http://monographs.iarc.fr/ENG/Classification/ </w:t>
      </w:r>
    </w:p>
  </w:footnote>
  <w:footnote w:id="2">
    <w:p w:rsidR="00180748" w:rsidRPr="0073106F" w:rsidRDefault="00180748">
      <w:pPr>
        <w:pStyle w:val="Notedebasdepage"/>
        <w:rPr>
          <w:lang w:val="en-US"/>
        </w:rPr>
      </w:pPr>
      <w:r>
        <w:rPr>
          <w:rStyle w:val="Appelnotedebasdep"/>
        </w:rPr>
        <w:footnoteRef/>
      </w:r>
      <w:r w:rsidRPr="0073106F">
        <w:rPr>
          <w:lang w:val="en-US"/>
        </w:rPr>
        <w:t xml:space="preserve">  Video clip www.chrysotile-asia.com/ + Richard L. </w:t>
      </w:r>
      <w:proofErr w:type="spellStart"/>
      <w:r w:rsidRPr="0073106F">
        <w:rPr>
          <w:lang w:val="en-US"/>
        </w:rPr>
        <w:t>Kradin</w:t>
      </w:r>
      <w:proofErr w:type="spellEnd"/>
      <w:r w:rsidRPr="0073106F">
        <w:rPr>
          <w:lang w:val="en-US"/>
        </w:rPr>
        <w:t xml:space="preserve"> MD, George </w:t>
      </w:r>
      <w:proofErr w:type="spellStart"/>
      <w:r w:rsidRPr="0073106F">
        <w:rPr>
          <w:lang w:val="en-US"/>
        </w:rPr>
        <w:t>Eng</w:t>
      </w:r>
      <w:proofErr w:type="spellEnd"/>
      <w:r w:rsidRPr="0073106F">
        <w:rPr>
          <w:lang w:val="en-US"/>
        </w:rPr>
        <w:t xml:space="preserve"> MD, | David C. </w:t>
      </w:r>
      <w:proofErr w:type="spellStart"/>
      <w:r w:rsidRPr="0073106F">
        <w:rPr>
          <w:lang w:val="en-US"/>
        </w:rPr>
        <w:t>Christiani</w:t>
      </w:r>
      <w:proofErr w:type="spellEnd"/>
      <w:r w:rsidRPr="0073106F">
        <w:rPr>
          <w:lang w:val="en-US"/>
        </w:rPr>
        <w:t xml:space="preserve"> MD 2017 ‘Diffuse peritoneal mesothelioma: A case series of 62 patients including </w:t>
      </w:r>
      <w:proofErr w:type="spellStart"/>
      <w:r w:rsidRPr="0073106F">
        <w:rPr>
          <w:lang w:val="en-US"/>
        </w:rPr>
        <w:t>paraoccupational</w:t>
      </w:r>
      <w:proofErr w:type="spellEnd"/>
      <w:r w:rsidRPr="0073106F">
        <w:rPr>
          <w:lang w:val="en-US"/>
        </w:rPr>
        <w:t xml:space="preserve"> exposures to chrysotile asbestos + Leslie T </w:t>
      </w:r>
      <w:proofErr w:type="spellStart"/>
      <w:r w:rsidRPr="0073106F">
        <w:rPr>
          <w:lang w:val="en-US"/>
        </w:rPr>
        <w:t>Stayner</w:t>
      </w:r>
      <w:proofErr w:type="spellEnd"/>
      <w:r w:rsidRPr="0073106F">
        <w:rPr>
          <w:lang w:val="en-US"/>
        </w:rPr>
        <w:t xml:space="preserve">, PhD, David A. </w:t>
      </w:r>
      <w:proofErr w:type="spellStart"/>
      <w:r w:rsidRPr="0073106F">
        <w:rPr>
          <w:lang w:val="en-US"/>
        </w:rPr>
        <w:t>Dankovic</w:t>
      </w:r>
      <w:proofErr w:type="spellEnd"/>
      <w:r w:rsidRPr="0073106F">
        <w:rPr>
          <w:lang w:val="en-US"/>
        </w:rPr>
        <w:t xml:space="preserve">, PhD, and Richard A. </w:t>
      </w:r>
      <w:proofErr w:type="spellStart"/>
      <w:r w:rsidRPr="0073106F">
        <w:rPr>
          <w:lang w:val="en-US"/>
        </w:rPr>
        <w:t>Lemen</w:t>
      </w:r>
      <w:proofErr w:type="spellEnd"/>
      <w:r w:rsidRPr="0073106F">
        <w:rPr>
          <w:lang w:val="en-US"/>
        </w:rPr>
        <w:t>, PhD 1996</w:t>
      </w:r>
    </w:p>
  </w:footnote>
  <w:footnote w:id="3">
    <w:p w:rsidR="00180748" w:rsidRPr="00C8521C" w:rsidRDefault="00180748">
      <w:pPr>
        <w:pStyle w:val="Notedebasdepage"/>
        <w:rPr>
          <w:lang w:val="en-US"/>
        </w:rPr>
      </w:pPr>
      <w:r>
        <w:rPr>
          <w:rStyle w:val="Appelnotedebasdep"/>
        </w:rPr>
        <w:footnoteRef/>
      </w:r>
      <w:r w:rsidRPr="00C8521C">
        <w:rPr>
          <w:lang w:val="en-US"/>
        </w:rPr>
        <w:t xml:space="preserve"> Occupational Exposure to Chrysotile Asbestos and Cancer Risk: A Review of the Amphibole Hypothesis + Suzuki Y1 , </w:t>
      </w:r>
      <w:proofErr w:type="spellStart"/>
      <w:r w:rsidRPr="00C8521C">
        <w:rPr>
          <w:lang w:val="en-US"/>
        </w:rPr>
        <w:t>Kohyama</w:t>
      </w:r>
      <w:proofErr w:type="spellEnd"/>
      <w:r w:rsidRPr="00C8521C">
        <w:rPr>
          <w:lang w:val="en-US"/>
        </w:rPr>
        <w:t xml:space="preserve"> N. Am J </w:t>
      </w:r>
      <w:proofErr w:type="spellStart"/>
      <w:r w:rsidRPr="00C8521C">
        <w:rPr>
          <w:lang w:val="en-US"/>
        </w:rPr>
        <w:t>Ind</w:t>
      </w:r>
      <w:proofErr w:type="spellEnd"/>
      <w:r w:rsidRPr="00C8521C">
        <w:rPr>
          <w:lang w:val="en-US"/>
        </w:rPr>
        <w:t xml:space="preserve"> Med. 1991;19(6):701-</w:t>
      </w:r>
    </w:p>
  </w:footnote>
  <w:footnote w:id="4">
    <w:p w:rsidR="00180748" w:rsidRDefault="00180748">
      <w:pPr>
        <w:pStyle w:val="Notedebasdepage"/>
      </w:pPr>
      <w:r>
        <w:rPr>
          <w:rStyle w:val="Appelnotedebasdep"/>
        </w:rPr>
        <w:footnoteRef/>
      </w:r>
      <w:r>
        <w:t xml:space="preserve"> 4 ILO </w:t>
      </w:r>
      <w:proofErr w:type="spellStart"/>
      <w:r>
        <w:t>Resolution</w:t>
      </w:r>
      <w:proofErr w:type="spellEnd"/>
      <w:r>
        <w:t xml:space="preserve"> on Asbestos 2006</w:t>
      </w:r>
    </w:p>
  </w:footnote>
  <w:footnote w:id="5">
    <w:p w:rsidR="00180748" w:rsidRPr="00621E37" w:rsidRDefault="00180748">
      <w:pPr>
        <w:pStyle w:val="Notedebasdepage"/>
        <w:rPr>
          <w:lang w:val="en-US"/>
        </w:rPr>
      </w:pPr>
      <w:r>
        <w:rPr>
          <w:rStyle w:val="Appelnotedebasdep"/>
        </w:rPr>
        <w:footnoteRef/>
      </w:r>
      <w:r w:rsidRPr="00621E37">
        <w:rPr>
          <w:lang w:val="en-US"/>
        </w:rPr>
        <w:t xml:space="preserve"> Chrysotile Asbestos 2014 WHO http://www.who.int/ipcs/assessment/public_health/chemicals_phc</w:t>
      </w:r>
    </w:p>
  </w:footnote>
  <w:footnote w:id="6">
    <w:p w:rsidR="00180748" w:rsidRPr="00115905" w:rsidRDefault="00180748">
      <w:pPr>
        <w:pStyle w:val="Notedebasdepage"/>
        <w:rPr>
          <w:lang w:val="en-US"/>
        </w:rPr>
      </w:pPr>
      <w:r>
        <w:rPr>
          <w:rStyle w:val="Appelnotedebasdep"/>
        </w:rPr>
        <w:footnoteRef/>
      </w:r>
      <w:r w:rsidRPr="00115905">
        <w:rPr>
          <w:lang w:val="en-US"/>
        </w:rPr>
        <w:t xml:space="preserve"> https://www.ncbi.nlm.nih.gov/pubmed/17350453</w:t>
      </w:r>
    </w:p>
  </w:footnote>
  <w:footnote w:id="7">
    <w:p w:rsidR="00180748" w:rsidRPr="00180748" w:rsidRDefault="00180748">
      <w:pPr>
        <w:pStyle w:val="Notedebasdepage"/>
        <w:rPr>
          <w:lang w:val="en-US"/>
        </w:rPr>
      </w:pPr>
      <w:r>
        <w:rPr>
          <w:rStyle w:val="Appelnotedebasdep"/>
        </w:rPr>
        <w:footnoteRef/>
      </w:r>
      <w:r w:rsidRPr="00180748">
        <w:rPr>
          <w:lang w:val="en-US"/>
        </w:rPr>
        <w:t xml:space="preserve">  193,374: http://vizhub.healthdata.org/gbd-compare/ </w:t>
      </w:r>
    </w:p>
  </w:footnote>
  <w:footnote w:id="8">
    <w:p w:rsidR="00180748" w:rsidRPr="00180748" w:rsidRDefault="00180748">
      <w:pPr>
        <w:pStyle w:val="Notedebasdepage"/>
        <w:rPr>
          <w:lang w:val="en-US"/>
        </w:rPr>
      </w:pPr>
      <w:r>
        <w:rPr>
          <w:rStyle w:val="Appelnotedebasdep"/>
        </w:rPr>
        <w:footnoteRef/>
      </w:r>
      <w:r w:rsidRPr="00180748">
        <w:rPr>
          <w:lang w:val="en-US"/>
        </w:rPr>
        <w:t xml:space="preserve"> Asbestos Economic Assessment of Bans and Declining Production and Consumption; Lucy P. Allen, Jorge Baez, Mary Elizabeth C. Stern and Frank George 201)</w:t>
      </w:r>
    </w:p>
  </w:footnote>
  <w:footnote w:id="9">
    <w:p w:rsidR="00180748" w:rsidRDefault="00180748">
      <w:pPr>
        <w:pStyle w:val="Notedebasdepage"/>
      </w:pPr>
      <w:r>
        <w:rPr>
          <w:rStyle w:val="Appelnotedebasdep"/>
        </w:rPr>
        <w:footnoteRef/>
      </w:r>
      <w:r>
        <w:t xml:space="preserve"> </w:t>
      </w:r>
      <w:r w:rsidRPr="00180748">
        <w:rPr>
          <w:lang w:val="en-US"/>
        </w:rPr>
        <w:t>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33C85"/>
    <w:multiLevelType w:val="hybridMultilevel"/>
    <w:tmpl w:val="E7820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E4"/>
    <w:rsid w:val="00003033"/>
    <w:rsid w:val="00005151"/>
    <w:rsid w:val="000053E9"/>
    <w:rsid w:val="0001119B"/>
    <w:rsid w:val="000429AF"/>
    <w:rsid w:val="00042F1B"/>
    <w:rsid w:val="00044F3E"/>
    <w:rsid w:val="0005140F"/>
    <w:rsid w:val="000648DC"/>
    <w:rsid w:val="00074C57"/>
    <w:rsid w:val="00075DBB"/>
    <w:rsid w:val="00082EE8"/>
    <w:rsid w:val="00093674"/>
    <w:rsid w:val="00093780"/>
    <w:rsid w:val="000968B2"/>
    <w:rsid w:val="00096AFC"/>
    <w:rsid w:val="000A406A"/>
    <w:rsid w:val="000A54A3"/>
    <w:rsid w:val="000A57BC"/>
    <w:rsid w:val="000B0289"/>
    <w:rsid w:val="000C03C4"/>
    <w:rsid w:val="000C3A35"/>
    <w:rsid w:val="000D27CD"/>
    <w:rsid w:val="000D2EEE"/>
    <w:rsid w:val="000E168C"/>
    <w:rsid w:val="000E44F9"/>
    <w:rsid w:val="000E57AE"/>
    <w:rsid w:val="000F0909"/>
    <w:rsid w:val="000F1287"/>
    <w:rsid w:val="000F2DE2"/>
    <w:rsid w:val="000F500A"/>
    <w:rsid w:val="000F5C53"/>
    <w:rsid w:val="000F78CC"/>
    <w:rsid w:val="0010065A"/>
    <w:rsid w:val="001039D2"/>
    <w:rsid w:val="001060E9"/>
    <w:rsid w:val="00115905"/>
    <w:rsid w:val="001269AF"/>
    <w:rsid w:val="001326C7"/>
    <w:rsid w:val="00133B88"/>
    <w:rsid w:val="00141787"/>
    <w:rsid w:val="001424C2"/>
    <w:rsid w:val="00143C6E"/>
    <w:rsid w:val="00155C86"/>
    <w:rsid w:val="00161B01"/>
    <w:rsid w:val="0016394F"/>
    <w:rsid w:val="0016455F"/>
    <w:rsid w:val="0016611D"/>
    <w:rsid w:val="00171319"/>
    <w:rsid w:val="00174B02"/>
    <w:rsid w:val="00175728"/>
    <w:rsid w:val="00175954"/>
    <w:rsid w:val="00180748"/>
    <w:rsid w:val="001911BF"/>
    <w:rsid w:val="00194DFA"/>
    <w:rsid w:val="00195DD1"/>
    <w:rsid w:val="00197A35"/>
    <w:rsid w:val="001B4DFD"/>
    <w:rsid w:val="001C4D4D"/>
    <w:rsid w:val="001C7A82"/>
    <w:rsid w:val="001D0C23"/>
    <w:rsid w:val="001D21C0"/>
    <w:rsid w:val="001D43CC"/>
    <w:rsid w:val="001D4FA8"/>
    <w:rsid w:val="001E30C6"/>
    <w:rsid w:val="002062A0"/>
    <w:rsid w:val="002118A9"/>
    <w:rsid w:val="00214F69"/>
    <w:rsid w:val="0022355A"/>
    <w:rsid w:val="00232E01"/>
    <w:rsid w:val="00236817"/>
    <w:rsid w:val="0024046D"/>
    <w:rsid w:val="00242990"/>
    <w:rsid w:val="00246CFE"/>
    <w:rsid w:val="00246F70"/>
    <w:rsid w:val="00250B77"/>
    <w:rsid w:val="00257B48"/>
    <w:rsid w:val="002637EC"/>
    <w:rsid w:val="00264A9D"/>
    <w:rsid w:val="002651ED"/>
    <w:rsid w:val="002716AD"/>
    <w:rsid w:val="00272946"/>
    <w:rsid w:val="002B6C7A"/>
    <w:rsid w:val="002D756B"/>
    <w:rsid w:val="002E0383"/>
    <w:rsid w:val="002E0451"/>
    <w:rsid w:val="002E22B7"/>
    <w:rsid w:val="002E6DE2"/>
    <w:rsid w:val="002F140D"/>
    <w:rsid w:val="002F3138"/>
    <w:rsid w:val="002F4187"/>
    <w:rsid w:val="00305FDC"/>
    <w:rsid w:val="00311955"/>
    <w:rsid w:val="0031434F"/>
    <w:rsid w:val="00322DF0"/>
    <w:rsid w:val="0033321B"/>
    <w:rsid w:val="0034322C"/>
    <w:rsid w:val="00356122"/>
    <w:rsid w:val="003579DC"/>
    <w:rsid w:val="00370D58"/>
    <w:rsid w:val="0037245A"/>
    <w:rsid w:val="00375734"/>
    <w:rsid w:val="00377DEE"/>
    <w:rsid w:val="003853C6"/>
    <w:rsid w:val="00394A5C"/>
    <w:rsid w:val="003A2956"/>
    <w:rsid w:val="003B7C07"/>
    <w:rsid w:val="003D00BE"/>
    <w:rsid w:val="003D12BF"/>
    <w:rsid w:val="003D5652"/>
    <w:rsid w:val="003D7FB8"/>
    <w:rsid w:val="003E1AF0"/>
    <w:rsid w:val="003F3B83"/>
    <w:rsid w:val="003F620E"/>
    <w:rsid w:val="003F7C01"/>
    <w:rsid w:val="003F7D6F"/>
    <w:rsid w:val="0040311F"/>
    <w:rsid w:val="00407D6E"/>
    <w:rsid w:val="0041521A"/>
    <w:rsid w:val="0042253D"/>
    <w:rsid w:val="00423F0E"/>
    <w:rsid w:val="004265C5"/>
    <w:rsid w:val="00427035"/>
    <w:rsid w:val="00436850"/>
    <w:rsid w:val="00447DEC"/>
    <w:rsid w:val="00450145"/>
    <w:rsid w:val="00451E72"/>
    <w:rsid w:val="00453028"/>
    <w:rsid w:val="004568E9"/>
    <w:rsid w:val="00465E43"/>
    <w:rsid w:val="00472CBC"/>
    <w:rsid w:val="00476630"/>
    <w:rsid w:val="004908A1"/>
    <w:rsid w:val="004A5B6E"/>
    <w:rsid w:val="004B5D47"/>
    <w:rsid w:val="004D15AE"/>
    <w:rsid w:val="004D1F2F"/>
    <w:rsid w:val="004D2CF1"/>
    <w:rsid w:val="004D5BA9"/>
    <w:rsid w:val="004D615C"/>
    <w:rsid w:val="004E1E56"/>
    <w:rsid w:val="004E60A8"/>
    <w:rsid w:val="004E7BDA"/>
    <w:rsid w:val="004F07B4"/>
    <w:rsid w:val="004F3BF9"/>
    <w:rsid w:val="004F67D6"/>
    <w:rsid w:val="005151A6"/>
    <w:rsid w:val="00517A7E"/>
    <w:rsid w:val="00526F5D"/>
    <w:rsid w:val="005413BD"/>
    <w:rsid w:val="00543604"/>
    <w:rsid w:val="00566E85"/>
    <w:rsid w:val="00570F96"/>
    <w:rsid w:val="0058233C"/>
    <w:rsid w:val="00585A22"/>
    <w:rsid w:val="005961E6"/>
    <w:rsid w:val="005A1870"/>
    <w:rsid w:val="005A47B0"/>
    <w:rsid w:val="005B51E1"/>
    <w:rsid w:val="005C2562"/>
    <w:rsid w:val="005C2576"/>
    <w:rsid w:val="005D0A03"/>
    <w:rsid w:val="005D0D4C"/>
    <w:rsid w:val="005D4115"/>
    <w:rsid w:val="005F16F5"/>
    <w:rsid w:val="005F3E49"/>
    <w:rsid w:val="00600078"/>
    <w:rsid w:val="006020DF"/>
    <w:rsid w:val="00603D5F"/>
    <w:rsid w:val="00613B4D"/>
    <w:rsid w:val="00621E37"/>
    <w:rsid w:val="006316BB"/>
    <w:rsid w:val="006412FD"/>
    <w:rsid w:val="00641F8B"/>
    <w:rsid w:val="00645396"/>
    <w:rsid w:val="0066296E"/>
    <w:rsid w:val="00662A8E"/>
    <w:rsid w:val="0067367A"/>
    <w:rsid w:val="006B600F"/>
    <w:rsid w:val="006C001B"/>
    <w:rsid w:val="006C06C0"/>
    <w:rsid w:val="006C537B"/>
    <w:rsid w:val="006C7009"/>
    <w:rsid w:val="006D0DD9"/>
    <w:rsid w:val="006D665C"/>
    <w:rsid w:val="006D6D8B"/>
    <w:rsid w:val="006E1BED"/>
    <w:rsid w:val="006E5345"/>
    <w:rsid w:val="006F67F1"/>
    <w:rsid w:val="00711B4A"/>
    <w:rsid w:val="007256BE"/>
    <w:rsid w:val="00726492"/>
    <w:rsid w:val="00727172"/>
    <w:rsid w:val="0073106F"/>
    <w:rsid w:val="00732C40"/>
    <w:rsid w:val="007330B2"/>
    <w:rsid w:val="00737600"/>
    <w:rsid w:val="00742081"/>
    <w:rsid w:val="00743CEA"/>
    <w:rsid w:val="00743FF6"/>
    <w:rsid w:val="00763326"/>
    <w:rsid w:val="007935EC"/>
    <w:rsid w:val="007A47D9"/>
    <w:rsid w:val="007A512F"/>
    <w:rsid w:val="007B7510"/>
    <w:rsid w:val="007E2F3A"/>
    <w:rsid w:val="007E4EC4"/>
    <w:rsid w:val="007E68DB"/>
    <w:rsid w:val="007E7204"/>
    <w:rsid w:val="007F0601"/>
    <w:rsid w:val="007F6261"/>
    <w:rsid w:val="00806D2A"/>
    <w:rsid w:val="00807692"/>
    <w:rsid w:val="00810022"/>
    <w:rsid w:val="008150B3"/>
    <w:rsid w:val="008175B8"/>
    <w:rsid w:val="00823A6B"/>
    <w:rsid w:val="00830BBA"/>
    <w:rsid w:val="00834FD9"/>
    <w:rsid w:val="008449D4"/>
    <w:rsid w:val="00861EA6"/>
    <w:rsid w:val="008641E7"/>
    <w:rsid w:val="00866F3A"/>
    <w:rsid w:val="00873FE8"/>
    <w:rsid w:val="00875335"/>
    <w:rsid w:val="0087634E"/>
    <w:rsid w:val="00882194"/>
    <w:rsid w:val="008828CC"/>
    <w:rsid w:val="00894C6D"/>
    <w:rsid w:val="008A2056"/>
    <w:rsid w:val="008A5252"/>
    <w:rsid w:val="008A7117"/>
    <w:rsid w:val="008A7D51"/>
    <w:rsid w:val="008B7707"/>
    <w:rsid w:val="008C720D"/>
    <w:rsid w:val="008D73DD"/>
    <w:rsid w:val="008E361B"/>
    <w:rsid w:val="008E5760"/>
    <w:rsid w:val="008E6ED7"/>
    <w:rsid w:val="008F6211"/>
    <w:rsid w:val="008F7A94"/>
    <w:rsid w:val="0090358A"/>
    <w:rsid w:val="00907DB8"/>
    <w:rsid w:val="00914B47"/>
    <w:rsid w:val="00921FA7"/>
    <w:rsid w:val="00923544"/>
    <w:rsid w:val="009276E1"/>
    <w:rsid w:val="00930CF4"/>
    <w:rsid w:val="009436CB"/>
    <w:rsid w:val="00943D1A"/>
    <w:rsid w:val="009442E5"/>
    <w:rsid w:val="0094546F"/>
    <w:rsid w:val="00955EC1"/>
    <w:rsid w:val="00957F4D"/>
    <w:rsid w:val="009607AB"/>
    <w:rsid w:val="00963919"/>
    <w:rsid w:val="00971871"/>
    <w:rsid w:val="009752CB"/>
    <w:rsid w:val="00981B39"/>
    <w:rsid w:val="009A032A"/>
    <w:rsid w:val="009A2C3D"/>
    <w:rsid w:val="009A5E66"/>
    <w:rsid w:val="009B2B08"/>
    <w:rsid w:val="009B5B5B"/>
    <w:rsid w:val="009E164E"/>
    <w:rsid w:val="009E32DB"/>
    <w:rsid w:val="009F1A39"/>
    <w:rsid w:val="00A01E2D"/>
    <w:rsid w:val="00A0792F"/>
    <w:rsid w:val="00A1742B"/>
    <w:rsid w:val="00A21448"/>
    <w:rsid w:val="00A3001B"/>
    <w:rsid w:val="00A458C4"/>
    <w:rsid w:val="00A52981"/>
    <w:rsid w:val="00A55982"/>
    <w:rsid w:val="00A77FBB"/>
    <w:rsid w:val="00A82D77"/>
    <w:rsid w:val="00A85E33"/>
    <w:rsid w:val="00A93379"/>
    <w:rsid w:val="00A97C36"/>
    <w:rsid w:val="00AA04C3"/>
    <w:rsid w:val="00AA588D"/>
    <w:rsid w:val="00AA7678"/>
    <w:rsid w:val="00AB5C48"/>
    <w:rsid w:val="00AC319F"/>
    <w:rsid w:val="00AD11F5"/>
    <w:rsid w:val="00AD77A4"/>
    <w:rsid w:val="00AE6C6A"/>
    <w:rsid w:val="00AF5D03"/>
    <w:rsid w:val="00AF757B"/>
    <w:rsid w:val="00B02B43"/>
    <w:rsid w:val="00B031F3"/>
    <w:rsid w:val="00B0523A"/>
    <w:rsid w:val="00B12B20"/>
    <w:rsid w:val="00B15DBF"/>
    <w:rsid w:val="00B205CE"/>
    <w:rsid w:val="00B22286"/>
    <w:rsid w:val="00B235F2"/>
    <w:rsid w:val="00B23957"/>
    <w:rsid w:val="00B26963"/>
    <w:rsid w:val="00B3326F"/>
    <w:rsid w:val="00B36C85"/>
    <w:rsid w:val="00B451F9"/>
    <w:rsid w:val="00B467EE"/>
    <w:rsid w:val="00B5206F"/>
    <w:rsid w:val="00B55D7D"/>
    <w:rsid w:val="00B61318"/>
    <w:rsid w:val="00B626CF"/>
    <w:rsid w:val="00B634F1"/>
    <w:rsid w:val="00B76306"/>
    <w:rsid w:val="00B917D2"/>
    <w:rsid w:val="00B9458F"/>
    <w:rsid w:val="00B94864"/>
    <w:rsid w:val="00BA5325"/>
    <w:rsid w:val="00BA548B"/>
    <w:rsid w:val="00BA5FE4"/>
    <w:rsid w:val="00BA664E"/>
    <w:rsid w:val="00BA7A55"/>
    <w:rsid w:val="00BC4EE5"/>
    <w:rsid w:val="00BC54F5"/>
    <w:rsid w:val="00BC7CF6"/>
    <w:rsid w:val="00BD0937"/>
    <w:rsid w:val="00BE65D4"/>
    <w:rsid w:val="00C02455"/>
    <w:rsid w:val="00C162D2"/>
    <w:rsid w:val="00C20DD0"/>
    <w:rsid w:val="00C32023"/>
    <w:rsid w:val="00C32CAF"/>
    <w:rsid w:val="00C4407D"/>
    <w:rsid w:val="00C5104A"/>
    <w:rsid w:val="00C525F1"/>
    <w:rsid w:val="00C807F7"/>
    <w:rsid w:val="00C8521C"/>
    <w:rsid w:val="00C90391"/>
    <w:rsid w:val="00C91932"/>
    <w:rsid w:val="00C9273F"/>
    <w:rsid w:val="00C94BE6"/>
    <w:rsid w:val="00C9542F"/>
    <w:rsid w:val="00CA5B86"/>
    <w:rsid w:val="00CB0859"/>
    <w:rsid w:val="00CD1FDA"/>
    <w:rsid w:val="00CD3F25"/>
    <w:rsid w:val="00CE031F"/>
    <w:rsid w:val="00CE1628"/>
    <w:rsid w:val="00CE16B2"/>
    <w:rsid w:val="00CF15FB"/>
    <w:rsid w:val="00CF2519"/>
    <w:rsid w:val="00CF43C3"/>
    <w:rsid w:val="00D00470"/>
    <w:rsid w:val="00D0385A"/>
    <w:rsid w:val="00D126EF"/>
    <w:rsid w:val="00D1502D"/>
    <w:rsid w:val="00D16B8F"/>
    <w:rsid w:val="00D306B4"/>
    <w:rsid w:val="00D309FD"/>
    <w:rsid w:val="00D3193E"/>
    <w:rsid w:val="00D327E3"/>
    <w:rsid w:val="00D42D0D"/>
    <w:rsid w:val="00D437F9"/>
    <w:rsid w:val="00D46E2E"/>
    <w:rsid w:val="00D50A54"/>
    <w:rsid w:val="00D52A3C"/>
    <w:rsid w:val="00D53D1D"/>
    <w:rsid w:val="00D64820"/>
    <w:rsid w:val="00D72A2C"/>
    <w:rsid w:val="00D76706"/>
    <w:rsid w:val="00D81CFC"/>
    <w:rsid w:val="00DA0621"/>
    <w:rsid w:val="00DA378C"/>
    <w:rsid w:val="00DB5687"/>
    <w:rsid w:val="00DC2200"/>
    <w:rsid w:val="00DD5EBD"/>
    <w:rsid w:val="00DE4EE4"/>
    <w:rsid w:val="00DE5506"/>
    <w:rsid w:val="00E03C36"/>
    <w:rsid w:val="00E10D19"/>
    <w:rsid w:val="00E1107C"/>
    <w:rsid w:val="00E15976"/>
    <w:rsid w:val="00E1636F"/>
    <w:rsid w:val="00E20B6B"/>
    <w:rsid w:val="00E21AD4"/>
    <w:rsid w:val="00E26971"/>
    <w:rsid w:val="00E270DA"/>
    <w:rsid w:val="00E34299"/>
    <w:rsid w:val="00E44D0E"/>
    <w:rsid w:val="00E51324"/>
    <w:rsid w:val="00E51FE1"/>
    <w:rsid w:val="00E70592"/>
    <w:rsid w:val="00E747C2"/>
    <w:rsid w:val="00E75B69"/>
    <w:rsid w:val="00E77239"/>
    <w:rsid w:val="00E90CB4"/>
    <w:rsid w:val="00E979FA"/>
    <w:rsid w:val="00EB5805"/>
    <w:rsid w:val="00EC4B1D"/>
    <w:rsid w:val="00EC51E5"/>
    <w:rsid w:val="00EC7705"/>
    <w:rsid w:val="00ED3850"/>
    <w:rsid w:val="00EE61E8"/>
    <w:rsid w:val="00EF03D0"/>
    <w:rsid w:val="00EF2B94"/>
    <w:rsid w:val="00EF4047"/>
    <w:rsid w:val="00EF78A9"/>
    <w:rsid w:val="00F075B7"/>
    <w:rsid w:val="00F15B28"/>
    <w:rsid w:val="00F21A0E"/>
    <w:rsid w:val="00F300D8"/>
    <w:rsid w:val="00F42A57"/>
    <w:rsid w:val="00F44B5F"/>
    <w:rsid w:val="00F54149"/>
    <w:rsid w:val="00F62C98"/>
    <w:rsid w:val="00F634E3"/>
    <w:rsid w:val="00F6435C"/>
    <w:rsid w:val="00F654AE"/>
    <w:rsid w:val="00F848FD"/>
    <w:rsid w:val="00FA10D0"/>
    <w:rsid w:val="00FA17D0"/>
    <w:rsid w:val="00FA7081"/>
    <w:rsid w:val="00FB259D"/>
    <w:rsid w:val="00FB5F5A"/>
    <w:rsid w:val="00FD1F14"/>
    <w:rsid w:val="00FD3C4C"/>
    <w:rsid w:val="00FE456C"/>
    <w:rsid w:val="00FF161E"/>
    <w:rsid w:val="00FF2E11"/>
    <w:rsid w:val="00FF3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A589A-52BC-46C4-BB6B-F26E6B45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6C85"/>
    <w:pPr>
      <w:ind w:left="720"/>
      <w:contextualSpacing/>
    </w:pPr>
  </w:style>
  <w:style w:type="paragraph" w:styleId="Notedebasdepage">
    <w:name w:val="footnote text"/>
    <w:basedOn w:val="Normal"/>
    <w:link w:val="NotedebasdepageCar"/>
    <w:uiPriority w:val="99"/>
    <w:semiHidden/>
    <w:unhideWhenUsed/>
    <w:rsid w:val="007310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106F"/>
    <w:rPr>
      <w:sz w:val="20"/>
      <w:szCs w:val="20"/>
    </w:rPr>
  </w:style>
  <w:style w:type="character" w:styleId="Appelnotedebasdep">
    <w:name w:val="footnote reference"/>
    <w:basedOn w:val="Policepardfaut"/>
    <w:uiPriority w:val="99"/>
    <w:semiHidden/>
    <w:unhideWhenUsed/>
    <w:rsid w:val="00731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59246">
      <w:bodyDiv w:val="1"/>
      <w:marLeft w:val="0"/>
      <w:marRight w:val="0"/>
      <w:marTop w:val="0"/>
      <w:marBottom w:val="0"/>
      <w:divBdr>
        <w:top w:val="none" w:sz="0" w:space="0" w:color="auto"/>
        <w:left w:val="none" w:sz="0" w:space="0" w:color="auto"/>
        <w:bottom w:val="none" w:sz="0" w:space="0" w:color="auto"/>
        <w:right w:val="none" w:sz="0" w:space="0" w:color="auto"/>
      </w:divBdr>
      <w:divsChild>
        <w:div w:id="724763514">
          <w:marLeft w:val="0"/>
          <w:marRight w:val="0"/>
          <w:marTop w:val="0"/>
          <w:marBottom w:val="0"/>
          <w:divBdr>
            <w:top w:val="none" w:sz="0" w:space="0" w:color="auto"/>
            <w:left w:val="none" w:sz="0" w:space="0" w:color="auto"/>
            <w:bottom w:val="none" w:sz="0" w:space="0" w:color="auto"/>
            <w:right w:val="none" w:sz="0" w:space="0" w:color="auto"/>
          </w:divBdr>
          <w:divsChild>
            <w:div w:id="366874736">
              <w:marLeft w:val="0"/>
              <w:marRight w:val="60"/>
              <w:marTop w:val="0"/>
              <w:marBottom w:val="0"/>
              <w:divBdr>
                <w:top w:val="none" w:sz="0" w:space="0" w:color="auto"/>
                <w:left w:val="none" w:sz="0" w:space="0" w:color="auto"/>
                <w:bottom w:val="none" w:sz="0" w:space="0" w:color="auto"/>
                <w:right w:val="none" w:sz="0" w:space="0" w:color="auto"/>
              </w:divBdr>
              <w:divsChild>
                <w:div w:id="1781534668">
                  <w:marLeft w:val="0"/>
                  <w:marRight w:val="0"/>
                  <w:marTop w:val="0"/>
                  <w:marBottom w:val="120"/>
                  <w:divBdr>
                    <w:top w:val="single" w:sz="6" w:space="0" w:color="C0C0C0"/>
                    <w:left w:val="single" w:sz="6" w:space="0" w:color="D9D9D9"/>
                    <w:bottom w:val="single" w:sz="6" w:space="0" w:color="D9D9D9"/>
                    <w:right w:val="single" w:sz="6" w:space="0" w:color="D9D9D9"/>
                  </w:divBdr>
                  <w:divsChild>
                    <w:div w:id="1874229394">
                      <w:marLeft w:val="0"/>
                      <w:marRight w:val="0"/>
                      <w:marTop w:val="0"/>
                      <w:marBottom w:val="0"/>
                      <w:divBdr>
                        <w:top w:val="none" w:sz="0" w:space="0" w:color="auto"/>
                        <w:left w:val="none" w:sz="0" w:space="0" w:color="auto"/>
                        <w:bottom w:val="none" w:sz="0" w:space="0" w:color="auto"/>
                        <w:right w:val="none" w:sz="0" w:space="0" w:color="auto"/>
                      </w:divBdr>
                    </w:div>
                    <w:div w:id="8692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21484">
          <w:marLeft w:val="0"/>
          <w:marRight w:val="0"/>
          <w:marTop w:val="0"/>
          <w:marBottom w:val="0"/>
          <w:divBdr>
            <w:top w:val="none" w:sz="0" w:space="0" w:color="auto"/>
            <w:left w:val="none" w:sz="0" w:space="0" w:color="auto"/>
            <w:bottom w:val="none" w:sz="0" w:space="0" w:color="auto"/>
            <w:right w:val="none" w:sz="0" w:space="0" w:color="auto"/>
          </w:divBdr>
          <w:divsChild>
            <w:div w:id="1269922387">
              <w:marLeft w:val="60"/>
              <w:marRight w:val="0"/>
              <w:marTop w:val="0"/>
              <w:marBottom w:val="0"/>
              <w:divBdr>
                <w:top w:val="none" w:sz="0" w:space="0" w:color="auto"/>
                <w:left w:val="none" w:sz="0" w:space="0" w:color="auto"/>
                <w:bottom w:val="none" w:sz="0" w:space="0" w:color="auto"/>
                <w:right w:val="none" w:sz="0" w:space="0" w:color="auto"/>
              </w:divBdr>
              <w:divsChild>
                <w:div w:id="1541629711">
                  <w:marLeft w:val="0"/>
                  <w:marRight w:val="0"/>
                  <w:marTop w:val="0"/>
                  <w:marBottom w:val="0"/>
                  <w:divBdr>
                    <w:top w:val="none" w:sz="0" w:space="0" w:color="auto"/>
                    <w:left w:val="none" w:sz="0" w:space="0" w:color="auto"/>
                    <w:bottom w:val="none" w:sz="0" w:space="0" w:color="auto"/>
                    <w:right w:val="none" w:sz="0" w:space="0" w:color="auto"/>
                  </w:divBdr>
                  <w:divsChild>
                    <w:div w:id="806508936">
                      <w:marLeft w:val="0"/>
                      <w:marRight w:val="0"/>
                      <w:marTop w:val="0"/>
                      <w:marBottom w:val="120"/>
                      <w:divBdr>
                        <w:top w:val="single" w:sz="6" w:space="0" w:color="F5F5F5"/>
                        <w:left w:val="single" w:sz="6" w:space="0" w:color="F5F5F5"/>
                        <w:bottom w:val="single" w:sz="6" w:space="0" w:color="F5F5F5"/>
                        <w:right w:val="single" w:sz="6" w:space="0" w:color="F5F5F5"/>
                      </w:divBdr>
                      <w:divsChild>
                        <w:div w:id="264198148">
                          <w:marLeft w:val="0"/>
                          <w:marRight w:val="0"/>
                          <w:marTop w:val="0"/>
                          <w:marBottom w:val="0"/>
                          <w:divBdr>
                            <w:top w:val="none" w:sz="0" w:space="0" w:color="auto"/>
                            <w:left w:val="none" w:sz="0" w:space="0" w:color="auto"/>
                            <w:bottom w:val="none" w:sz="0" w:space="0" w:color="auto"/>
                            <w:right w:val="none" w:sz="0" w:space="0" w:color="auto"/>
                          </w:divBdr>
                          <w:divsChild>
                            <w:div w:id="179786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499E1-BB6D-4A33-9FC1-F36DFBAA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875</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2</cp:revision>
  <dcterms:created xsi:type="dcterms:W3CDTF">2017-12-18T08:47:00Z</dcterms:created>
  <dcterms:modified xsi:type="dcterms:W3CDTF">2017-12-20T09:30:00Z</dcterms:modified>
</cp:coreProperties>
</file>